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《保健食品原料目录 螺旋藻》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page" w:horzAnchor="page" w:tblpX="649" w:tblpY="3730"/>
        <w:tblW w:w="10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815"/>
        <w:gridCol w:w="2190"/>
        <w:gridCol w:w="2000"/>
        <w:gridCol w:w="169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4" w:hRule="atLeast"/>
        </w:trPr>
        <w:tc>
          <w:tcPr>
            <w:tcW w:w="1687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32"/>
                <w:szCs w:val="32"/>
              </w:rPr>
              <w:t>原料</w:t>
            </w:r>
            <w:r>
              <w:rPr>
                <w:rFonts w:asciiTheme="majorEastAsia" w:hAnsiTheme="majorEastAsia" w:eastAsiaTheme="majorEastAsia"/>
                <w:b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7695" w:type="dxa"/>
            <w:gridSpan w:val="4"/>
            <w:vAlign w:val="center"/>
          </w:tcPr>
          <w:p>
            <w:pPr>
              <w:tabs>
                <w:tab w:val="left" w:pos="2087"/>
                <w:tab w:val="center" w:pos="3516"/>
              </w:tabs>
              <w:jc w:val="left"/>
              <w:rPr>
                <w:rFonts w:asciiTheme="majorEastAsia" w:hAnsiTheme="majorEastAsia" w:eastAsiaTheme="majorEastAsia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ajorEastAsia" w:hAnsiTheme="majorEastAsia" w:eastAsiaTheme="majorEastAsia"/>
                <w:b/>
                <w:color w:val="auto"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ajorEastAsia" w:hAnsiTheme="majorEastAsia" w:eastAsiaTheme="majorEastAsia"/>
                <w:b/>
                <w:color w:val="auto"/>
                <w:sz w:val="32"/>
                <w:szCs w:val="32"/>
              </w:rPr>
              <w:t>每</w:t>
            </w:r>
            <w:r>
              <w:rPr>
                <w:rFonts w:asciiTheme="majorEastAsia" w:hAnsiTheme="majorEastAsia" w:eastAsiaTheme="majorEastAsia"/>
                <w:b/>
                <w:color w:val="auto"/>
                <w:sz w:val="32"/>
                <w:szCs w:val="32"/>
              </w:rPr>
              <w:t>日用量</w:t>
            </w:r>
          </w:p>
        </w:tc>
        <w:tc>
          <w:tcPr>
            <w:tcW w:w="1605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32"/>
                <w:szCs w:val="32"/>
              </w:rPr>
              <w:t>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32"/>
                <w:szCs w:val="32"/>
              </w:rPr>
              <w:t>用量</w:t>
            </w:r>
            <w:r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  <w:t>范围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32"/>
                <w:szCs w:val="32"/>
              </w:rPr>
              <w:t>适宜人群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32"/>
                <w:szCs w:val="32"/>
              </w:rPr>
              <w:t>不适宜</w:t>
            </w:r>
            <w:r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  <w:t>人群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32"/>
                <w:szCs w:val="32"/>
              </w:rPr>
              <w:t>注意</w:t>
            </w:r>
            <w:r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  <w:t>事项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螺旋藻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3-</w:t>
            </w:r>
            <w:r>
              <w:rPr>
                <w:rFonts w:asciiTheme="minorEastAsia" w:hAnsiTheme="minorEastAsia"/>
                <w:color w:val="auto"/>
                <w:sz w:val="32"/>
                <w:szCs w:val="32"/>
              </w:rPr>
              <w:t>4g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免疫力低下者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asciiTheme="minorEastAsia" w:hAnsiTheme="minorEastAsia"/>
                <w:color w:val="auto"/>
                <w:sz w:val="32"/>
                <w:szCs w:val="32"/>
              </w:rPr>
              <w:t>婴幼儿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、</w:t>
            </w:r>
            <w:r>
              <w:rPr>
                <w:rFonts w:asciiTheme="minorEastAsia" w:hAnsiTheme="minorEastAsia"/>
                <w:color w:val="auto"/>
                <w:sz w:val="32"/>
                <w:szCs w:val="32"/>
              </w:rPr>
              <w:t>孕妇及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乳母、过敏体质人群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增强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免疫力</w:t>
            </w:r>
          </w:p>
        </w:tc>
      </w:tr>
    </w:tbl>
    <w:p>
      <w:pPr>
        <w:jc w:val="both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bidi w:val="0"/>
        <w:rPr>
          <w:rFonts w:hint="eastAsia" w:ascii="Times New Roman" w:hAnsi="Times New Roman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ab/>
      </w: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pPr>
        <w:spacing w:line="360" w:lineRule="auto"/>
        <w:ind w:firstLine="422"/>
        <w:jc w:val="center"/>
        <w:rPr>
          <w:rFonts w:hint="eastAsia" w:ascii="Times New Roman" w:hAnsi="Times New Roman" w:cs="Times New Roman"/>
          <w:b/>
          <w:color w:val="auto"/>
          <w:sz w:val="32"/>
          <w:szCs w:val="32"/>
        </w:rPr>
      </w:pPr>
    </w:p>
    <w:p>
      <w:pPr>
        <w:spacing w:line="360" w:lineRule="auto"/>
        <w:ind w:firstLine="422"/>
        <w:jc w:val="center"/>
        <w:rPr>
          <w:rFonts w:hint="eastAsia" w:ascii="Times New Roman" w:hAnsi="Times New Roman" w:cs="Times New Roman"/>
          <w:b/>
          <w:color w:val="auto"/>
          <w:sz w:val="32"/>
          <w:szCs w:val="32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螺旋藻原料技术要求</w:t>
      </w:r>
    </w:p>
    <w:p>
      <w:pPr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【</w:t>
      </w:r>
      <w:r>
        <w:rPr>
          <w:rFonts w:hint="eastAsia" w:ascii="Times New Roman" w:hAnsi="Times New Roman" w:cs="Times New Roman"/>
          <w:color w:val="auto"/>
        </w:rPr>
        <w:t>来源</w:t>
      </w:r>
      <w:r>
        <w:rPr>
          <w:rFonts w:hint="eastAsia" w:ascii="Times New Roman" w:hAnsi="Times New Roman" w:cs="Times New Roman"/>
          <w:b/>
          <w:color w:val="auto"/>
        </w:rPr>
        <w:t>】</w:t>
      </w:r>
    </w:p>
    <w:p>
      <w:pPr>
        <w:spacing w:before="156" w:after="156"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螺旋藻</w:t>
      </w:r>
      <w:r>
        <w:rPr>
          <w:rFonts w:hint="eastAsia" w:ascii="Times New Roman" w:hAnsi="Times New Roman" w:cs="Times New Roman"/>
          <w:color w:val="auto"/>
        </w:rPr>
        <w:t>为钝顶螺旋藻（</w:t>
      </w:r>
      <w:r>
        <w:rPr>
          <w:rFonts w:ascii="Times New Roman" w:hAnsi="Times New Roman" w:cs="Times New Roman"/>
          <w:i/>
          <w:iCs/>
          <w:color w:val="auto"/>
        </w:rPr>
        <w:t>Arthrospira platensis</w:t>
      </w:r>
      <w:r>
        <w:rPr>
          <w:rFonts w:hint="eastAsia" w:ascii="Times New Roman" w:hAnsi="Times New Roman" w:cs="Times New Roman"/>
          <w:color w:val="auto"/>
        </w:rPr>
        <w:t>）和极大螺旋藻（</w:t>
      </w:r>
      <w:r>
        <w:rPr>
          <w:rFonts w:ascii="Times New Roman" w:hAnsi="Times New Roman" w:cs="Times New Roman"/>
          <w:i/>
          <w:iCs/>
          <w:color w:val="auto"/>
        </w:rPr>
        <w:t>Arthrospira maxima</w:t>
      </w:r>
      <w:r>
        <w:rPr>
          <w:rFonts w:hint="eastAsia" w:ascii="Times New Roman" w:hAnsi="Times New Roman" w:cs="Times New Roman"/>
          <w:color w:val="auto"/>
        </w:rPr>
        <w:t>）经人工培养、采收、清洗的藻泥，经过喷雾</w:t>
      </w:r>
      <w:r>
        <w:rPr>
          <w:rFonts w:ascii="Times New Roman" w:hAnsi="Times New Roman" w:cs="Times New Roman"/>
          <w:color w:val="auto"/>
        </w:rPr>
        <w:t>干燥，或者其他</w:t>
      </w:r>
      <w:r>
        <w:rPr>
          <w:rFonts w:hint="eastAsia" w:ascii="Times New Roman" w:hAnsi="Times New Roman" w:cs="Times New Roman"/>
          <w:color w:val="auto"/>
        </w:rPr>
        <w:t>干燥方法</w:t>
      </w:r>
      <w:r>
        <w:rPr>
          <w:rFonts w:ascii="Times New Roman" w:hAnsi="Times New Roman" w:cs="Times New Roman"/>
          <w:color w:val="auto"/>
        </w:rPr>
        <w:t>并经杀菌</w:t>
      </w:r>
      <w:r>
        <w:rPr>
          <w:rFonts w:hint="eastAsia" w:ascii="Times New Roman" w:hAnsi="Times New Roman" w:cs="Times New Roman"/>
          <w:color w:val="auto"/>
        </w:rPr>
        <w:t>获得的干粉。</w:t>
      </w:r>
    </w:p>
    <w:p>
      <w:pPr>
        <w:spacing w:line="360" w:lineRule="auto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【感官要求】</w:t>
      </w:r>
    </w:p>
    <w:p>
      <w:pPr>
        <w:spacing w:line="360" w:lineRule="auto"/>
        <w:ind w:firstLine="390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应符合</w:t>
      </w:r>
      <w:r>
        <w:rPr>
          <w:rFonts w:ascii="Times New Roman" w:hAnsi="Times New Roman" w:cs="Times New Roman"/>
          <w:color w:val="auto"/>
          <w:spacing w:val="-4"/>
        </w:rPr>
        <w:t>表</w:t>
      </w:r>
      <w:r>
        <w:rPr>
          <w:rFonts w:hint="eastAsia" w:ascii="Times New Roman" w:hAnsi="Times New Roman" w:cs="Times New Roman"/>
          <w:color w:val="auto"/>
          <w:spacing w:val="-4"/>
        </w:rPr>
        <w:t>1规定</w:t>
      </w:r>
      <w:r>
        <w:rPr>
          <w:rFonts w:ascii="Times New Roman" w:hAnsi="Times New Roman" w:cs="Times New Roman"/>
          <w:color w:val="auto"/>
          <w:spacing w:val="-4"/>
        </w:rPr>
        <w:t>。</w:t>
      </w:r>
    </w:p>
    <w:p>
      <w:pPr>
        <w:spacing w:line="360" w:lineRule="auto"/>
        <w:ind w:firstLine="390"/>
        <w:jc w:val="center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表1 感官指标</w:t>
      </w:r>
    </w:p>
    <w:tbl>
      <w:tblPr>
        <w:tblStyle w:val="6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项目</w:t>
            </w:r>
          </w:p>
        </w:tc>
        <w:tc>
          <w:tcPr>
            <w:tcW w:w="58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色泽</w:t>
            </w:r>
          </w:p>
        </w:tc>
        <w:tc>
          <w:tcPr>
            <w:tcW w:w="58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蓝绿色至墨绿色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滋味</w:t>
            </w:r>
            <w:r>
              <w:rPr>
                <w:rFonts w:ascii="Times New Roman" w:hAnsi="Times New Roman" w:cs="Times New Roman"/>
                <w:color w:val="auto"/>
              </w:rPr>
              <w:t>、气味</w:t>
            </w:r>
          </w:p>
        </w:tc>
        <w:tc>
          <w:tcPr>
            <w:tcW w:w="58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无异味，略带藻腥味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状态</w:t>
            </w:r>
          </w:p>
        </w:tc>
        <w:tc>
          <w:tcPr>
            <w:tcW w:w="58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均匀干燥疏松粉末，无结块，无正常视力可见外来杂质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【鉴别】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  <w:szCs w:val="21"/>
        </w:rPr>
        <w:t>取少量样品于水中，充分震荡搅拌使藻粉颗粒分散，显微镜视野中应呈分散、绿色的S形、L形、C形或螺旋形的藻丝体，不得有明显异物。</w:t>
      </w:r>
    </w:p>
    <w:p>
      <w:pPr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color w:val="auto"/>
          <w:spacing w:val="-4"/>
        </w:rPr>
        <w:t>【理化指标】</w:t>
      </w:r>
    </w:p>
    <w:p>
      <w:pPr>
        <w:spacing w:line="360" w:lineRule="auto"/>
        <w:ind w:firstLine="390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应符合</w:t>
      </w:r>
      <w:r>
        <w:rPr>
          <w:rFonts w:ascii="Times New Roman" w:hAnsi="Times New Roman" w:cs="Times New Roman"/>
          <w:color w:val="auto"/>
          <w:spacing w:val="-4"/>
        </w:rPr>
        <w:t>表2</w:t>
      </w:r>
      <w:r>
        <w:rPr>
          <w:rFonts w:hint="eastAsia" w:ascii="Times New Roman" w:hAnsi="Times New Roman" w:cs="Times New Roman"/>
          <w:color w:val="auto"/>
          <w:spacing w:val="-4"/>
        </w:rPr>
        <w:t>规定</w:t>
      </w:r>
      <w:r>
        <w:rPr>
          <w:rFonts w:ascii="Times New Roman" w:hAnsi="Times New Roman" w:cs="Times New Roman"/>
          <w:color w:val="auto"/>
          <w:spacing w:val="-4"/>
        </w:rPr>
        <w:t>。</w:t>
      </w:r>
    </w:p>
    <w:p>
      <w:pPr>
        <w:spacing w:line="360" w:lineRule="auto"/>
        <w:ind w:firstLine="390"/>
        <w:jc w:val="center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表2 理化指标</w:t>
      </w:r>
    </w:p>
    <w:tbl>
      <w:tblPr>
        <w:tblStyle w:val="6"/>
        <w:tblW w:w="8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213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指标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Cs/>
                <w:color w:val="auto"/>
              </w:rPr>
            </w:pPr>
            <w:r>
              <w:rPr>
                <w:rFonts w:hint="eastAsia" w:asciiTheme="minorEastAsia" w:hAnsiTheme="minorEastAsia"/>
                <w:bCs/>
                <w:color w:val="auto"/>
              </w:rPr>
              <w:t>水分，</w:t>
            </w:r>
            <w:r>
              <w:rPr>
                <w:rFonts w:asciiTheme="minorEastAsia" w:hAnsiTheme="minorEastAsia"/>
                <w:bCs/>
                <w:color w:val="auto"/>
              </w:rPr>
              <w:t xml:space="preserve">%                       </w:t>
            </w:r>
            <w:r>
              <w:rPr>
                <w:rFonts w:cs="Times New Roman" w:asciiTheme="minorEastAsia" w:hAnsiTheme="minorEastAsia"/>
                <w:color w:val="auto"/>
              </w:rPr>
              <w:t>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7.0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cs="Times New Roman" w:asciiTheme="minorEastAsia" w:hAnsiTheme="minorEastAsia"/>
                <w:color w:val="auto"/>
                <w:spacing w:val="-4"/>
              </w:rPr>
              <w:t>GB 5009.3</w:t>
            </w: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第一法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Cs/>
                <w:color w:val="auto"/>
              </w:rPr>
            </w:pPr>
            <w:r>
              <w:rPr>
                <w:rFonts w:hint="eastAsia" w:asciiTheme="minorEastAsia" w:hAnsiTheme="minorEastAsia"/>
                <w:bCs/>
                <w:color w:val="auto"/>
              </w:rPr>
              <w:t>总灰分，</w:t>
            </w:r>
            <w:r>
              <w:rPr>
                <w:rFonts w:asciiTheme="minorEastAsia" w:hAnsiTheme="minorEastAsia"/>
                <w:bCs/>
                <w:color w:val="auto"/>
              </w:rPr>
              <w:t xml:space="preserve">%                     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>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7.0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cs="Times New Roman" w:asciiTheme="minorEastAsia" w:hAnsiTheme="minorEastAsia"/>
                <w:color w:val="auto"/>
                <w:spacing w:val="-4"/>
              </w:rPr>
              <w:t>GB 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Cs/>
                <w:color w:val="auto"/>
              </w:rPr>
            </w:pPr>
            <w:r>
              <w:rPr>
                <w:rFonts w:hint="eastAsia" w:asciiTheme="minorEastAsia" w:hAnsiTheme="minorEastAsia"/>
                <w:bCs/>
                <w:color w:val="auto"/>
              </w:rPr>
              <w:t xml:space="preserve">蛋白质，％                     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>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55.0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cs="Times New Roman" w:asciiTheme="minorEastAsia" w:hAnsiTheme="minorEastAsia"/>
                <w:color w:val="auto"/>
                <w:spacing w:val="-4"/>
              </w:rPr>
              <w:t>GB 5009.5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铅（以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>Pb</w:t>
            </w: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计），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 xml:space="preserve"> mg/kg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2.0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cs="Times New Roman" w:asciiTheme="minorEastAsia" w:hAnsiTheme="minorEastAsia"/>
                <w:color w:val="auto"/>
                <w:spacing w:val="-4"/>
              </w:rPr>
              <w:t>GB 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砷（以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>As</w:t>
            </w: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计），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 xml:space="preserve"> mg/kg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1.0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cs="Times New Roman" w:asciiTheme="minorEastAsia" w:hAnsiTheme="minorEastAsia"/>
                <w:color w:val="auto"/>
                <w:spacing w:val="-4"/>
              </w:rPr>
              <w:t>GB 5009.11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汞（以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>Hg</w:t>
            </w: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计），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 xml:space="preserve"> mg/kg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0.3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cs="Times New Roman" w:asciiTheme="minorEastAsia" w:hAnsiTheme="minorEastAsia"/>
                <w:color w:val="auto"/>
                <w:spacing w:val="-4"/>
              </w:rPr>
              <w:t>GB 5009.17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镉（以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>Cd</w:t>
            </w:r>
            <w:r>
              <w:rPr>
                <w:rFonts w:hint="eastAsia" w:cs="Times New Roman" w:asciiTheme="minorEastAsia" w:hAnsiTheme="minorEastAsia"/>
                <w:color w:val="auto"/>
                <w:spacing w:val="-4"/>
              </w:rPr>
              <w:t>计），</w:t>
            </w:r>
            <w:r>
              <w:rPr>
                <w:rFonts w:cs="Times New Roman" w:asciiTheme="minorEastAsia" w:hAnsiTheme="minorEastAsia"/>
                <w:color w:val="auto"/>
                <w:spacing w:val="-4"/>
              </w:rPr>
              <w:t xml:space="preserve"> mg/kg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0.2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pacing w:val="-4"/>
              </w:rPr>
            </w:pPr>
            <w:r>
              <w:rPr>
                <w:rFonts w:cs="Times New Roman" w:asciiTheme="minorEastAsia" w:hAnsiTheme="minorEastAsia"/>
                <w:color w:val="auto"/>
                <w:spacing w:val="-4"/>
              </w:rPr>
              <w:t>GB 5009.15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【微生物</w:t>
      </w:r>
      <w:r>
        <w:rPr>
          <w:rFonts w:ascii="Times New Roman" w:hAnsi="Times New Roman" w:cs="Times New Roman"/>
          <w:color w:val="auto"/>
        </w:rPr>
        <w:t>指标</w:t>
      </w:r>
      <w:r>
        <w:rPr>
          <w:rFonts w:hint="eastAsia" w:ascii="Times New Roman" w:hAnsi="Times New Roman" w:cs="Times New Roman"/>
          <w:color w:val="auto"/>
        </w:rPr>
        <w:t>】</w:t>
      </w:r>
    </w:p>
    <w:p>
      <w:pPr>
        <w:spacing w:line="360" w:lineRule="auto"/>
        <w:ind w:firstLine="390"/>
        <w:jc w:val="center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应符合</w:t>
      </w:r>
      <w:r>
        <w:rPr>
          <w:rFonts w:ascii="Times New Roman" w:hAnsi="Times New Roman" w:cs="Times New Roman"/>
          <w:color w:val="auto"/>
          <w:spacing w:val="-4"/>
        </w:rPr>
        <w:t>表3</w:t>
      </w:r>
      <w:r>
        <w:rPr>
          <w:rFonts w:hint="eastAsia" w:ascii="Times New Roman" w:hAnsi="Times New Roman" w:cs="Times New Roman"/>
          <w:color w:val="auto"/>
          <w:spacing w:val="-4"/>
        </w:rPr>
        <w:t>规定</w:t>
      </w:r>
      <w:r>
        <w:rPr>
          <w:rFonts w:ascii="Times New Roman" w:hAnsi="Times New Roman" w:cs="Times New Roman"/>
          <w:color w:val="auto"/>
          <w:spacing w:val="-4"/>
        </w:rPr>
        <w:t>。</w:t>
      </w:r>
      <w:r>
        <w:rPr>
          <w:rFonts w:ascii="Times New Roman" w:hAnsi="Times New Roman" w:cs="Times New Roman"/>
          <w:color w:val="auto"/>
          <w:spacing w:val="-4"/>
        </w:rPr>
        <w:br w:type="textWrapping"/>
      </w:r>
    </w:p>
    <w:p>
      <w:pPr>
        <w:spacing w:line="360" w:lineRule="auto"/>
        <w:ind w:firstLine="390"/>
        <w:jc w:val="center"/>
        <w:rPr>
          <w:rFonts w:ascii="Times New Roman" w:hAnsi="Times New Roman" w:cs="Times New Roman"/>
          <w:color w:val="auto"/>
          <w:spacing w:val="-4"/>
        </w:rPr>
      </w:pPr>
    </w:p>
    <w:p>
      <w:pPr>
        <w:spacing w:line="360" w:lineRule="auto"/>
        <w:ind w:firstLine="39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表3 微生物指标</w:t>
      </w:r>
    </w:p>
    <w:tbl>
      <w:tblPr>
        <w:tblStyle w:val="6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371"/>
        <w:gridCol w:w="425"/>
        <w:gridCol w:w="1276"/>
        <w:gridCol w:w="1417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项目</w:t>
            </w:r>
          </w:p>
        </w:tc>
        <w:tc>
          <w:tcPr>
            <w:tcW w:w="34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指标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7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auto"/>
              </w:rPr>
            </w:pPr>
            <w:r>
              <w:rPr>
                <w:rFonts w:cs="Times New Roman" w:asciiTheme="minorEastAsia" w:hAnsiTheme="minorEastAsia"/>
                <w:color w:val="auto"/>
              </w:rPr>
              <w:t>菌落总数，CFU/g        ≤</w:t>
            </w:r>
          </w:p>
        </w:tc>
        <w:tc>
          <w:tcPr>
            <w:tcW w:w="3489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30000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7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auto"/>
              </w:rPr>
            </w:pPr>
            <w:r>
              <w:rPr>
                <w:rFonts w:cs="Times New Roman" w:asciiTheme="minorEastAsia" w:hAnsiTheme="minorEastAsia"/>
                <w:color w:val="auto"/>
              </w:rPr>
              <w:t>霉菌和酵母，CFU/g      ≤</w:t>
            </w:r>
          </w:p>
        </w:tc>
        <w:tc>
          <w:tcPr>
            <w:tcW w:w="3489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GB 4789.15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7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auto"/>
              </w:rPr>
            </w:pPr>
            <w:r>
              <w:rPr>
                <w:rFonts w:cs="Times New Roman" w:asciiTheme="minorEastAsia" w:hAnsiTheme="minorEastAsia"/>
                <w:color w:val="auto"/>
              </w:rPr>
              <w:t>大肠菌群，MPN/g        ≤</w:t>
            </w:r>
          </w:p>
        </w:tc>
        <w:tc>
          <w:tcPr>
            <w:tcW w:w="3489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0.92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GB 4789.3 MPN计数法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沙门氏菌</w:t>
            </w:r>
            <w:r>
              <w:rPr>
                <w:rFonts w:hint="eastAsia" w:ascii="Times New Roman" w:hAnsi="Times New Roman" w:cs="Times New Roman"/>
                <w:color w:val="auto"/>
              </w:rPr>
              <w:t xml:space="preserve">              </w:t>
            </w:r>
            <w:r>
              <w:rPr>
                <w:rFonts w:cs="Times New Roman" w:asciiTheme="minorEastAsia" w:hAnsiTheme="minorEastAsia"/>
                <w:color w:val="auto"/>
              </w:rPr>
              <w:t>≤</w:t>
            </w:r>
          </w:p>
        </w:tc>
        <w:tc>
          <w:tcPr>
            <w:tcW w:w="3489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0/25g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GB 4789.4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金黄色葡萄球菌</w:t>
            </w:r>
            <w:r>
              <w:rPr>
                <w:rFonts w:hint="eastAsia" w:ascii="Times New Roman" w:hAnsi="Times New Roman" w:cs="Times New Roman"/>
                <w:color w:val="auto"/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auto"/>
              </w:rPr>
              <w:t>≤</w:t>
            </w:r>
          </w:p>
        </w:tc>
        <w:tc>
          <w:tcPr>
            <w:tcW w:w="3489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0/25g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GB 4789.10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74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副溶血性弧菌，</w:t>
            </w:r>
            <w:r>
              <w:rPr>
                <w:rFonts w:ascii="Times New Roman" w:hAnsi="Times New Roman" w:cs="Times New Roman"/>
                <w:color w:val="auto"/>
              </w:rPr>
              <w:t>MPN/g</w:t>
            </w:r>
          </w:p>
        </w:tc>
        <w:tc>
          <w:tcPr>
            <w:tcW w:w="3489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采样量为25g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GB/T 4789.7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74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n</w:t>
            </w:r>
          </w:p>
        </w:tc>
        <w:tc>
          <w:tcPr>
            <w:tcW w:w="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c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M</w:t>
            </w: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74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100</w:t>
            </w:r>
            <w:r>
              <w:rPr>
                <w:rFonts w:ascii="Times New Roman" w:hAnsi="Times New Roman" w:cs="Times New Roman"/>
                <w:color w:val="auto"/>
              </w:rPr>
              <w:t xml:space="preserve"> MPN/g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1000</w:t>
            </w:r>
            <w:r>
              <w:rPr>
                <w:rFonts w:ascii="Times New Roman" w:hAnsi="Times New Roman" w:cs="Times New Roman"/>
                <w:color w:val="auto"/>
              </w:rPr>
              <w:t xml:space="preserve"> MPN/g</w:t>
            </w: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注：n为同一批次产品应采集的样品件数；c为最大可允许超出m值的样品数；m为致病菌指标可接受水平的限量值；M为致病菌指标的最高安全限量值。</w:t>
      </w:r>
    </w:p>
    <w:p>
      <w:pPr>
        <w:spacing w:line="360" w:lineRule="auto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>【标志性</w:t>
      </w:r>
      <w:r>
        <w:rPr>
          <w:rFonts w:ascii="Times New Roman" w:hAnsi="Times New Roman" w:cs="Times New Roman"/>
          <w:color w:val="auto"/>
          <w:spacing w:val="-4"/>
        </w:rPr>
        <w:t>成分指标</w:t>
      </w:r>
      <w:r>
        <w:rPr>
          <w:rFonts w:hint="eastAsia" w:ascii="Times New Roman" w:hAnsi="Times New Roman" w:cs="Times New Roman"/>
          <w:color w:val="auto"/>
          <w:spacing w:val="-4"/>
        </w:rPr>
        <w:t>】</w:t>
      </w:r>
    </w:p>
    <w:p>
      <w:pPr>
        <w:spacing w:line="360" w:lineRule="auto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cs="Times New Roman"/>
          <w:color w:val="auto"/>
          <w:spacing w:val="-4"/>
        </w:rPr>
        <w:t xml:space="preserve"> 应符合</w:t>
      </w:r>
      <w:r>
        <w:rPr>
          <w:rFonts w:ascii="Times New Roman" w:hAnsi="Times New Roman" w:cs="Times New Roman"/>
          <w:color w:val="auto"/>
          <w:spacing w:val="-4"/>
        </w:rPr>
        <w:t>表4</w:t>
      </w:r>
      <w:r>
        <w:rPr>
          <w:rFonts w:hint="eastAsia" w:ascii="Times New Roman" w:hAnsi="Times New Roman" w:cs="Times New Roman"/>
          <w:color w:val="auto"/>
          <w:spacing w:val="-4"/>
        </w:rPr>
        <w:t>规定</w:t>
      </w:r>
      <w:r>
        <w:rPr>
          <w:rFonts w:ascii="Times New Roman" w:hAnsi="Times New Roman" w:cs="Times New Roman"/>
          <w:color w:val="auto"/>
          <w:spacing w:val="-4"/>
        </w:rPr>
        <w:t>。</w:t>
      </w:r>
    </w:p>
    <w:p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表4标志性成分指标</w:t>
      </w:r>
    </w:p>
    <w:tbl>
      <w:tblPr>
        <w:tblStyle w:val="6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4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项目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指标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β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胡萝卜素，g/kg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spacing w:val="-4"/>
              </w:rPr>
              <w:t>≥</w:t>
            </w:r>
          </w:p>
        </w:tc>
        <w:tc>
          <w:tcPr>
            <w:tcW w:w="2834" w:type="dxa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</w:rPr>
              <w:t>0.20</w:t>
            </w:r>
          </w:p>
        </w:tc>
        <w:tc>
          <w:tcPr>
            <w:tcW w:w="2798" w:type="dxa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1</w:t>
            </w:r>
            <w:r>
              <w:rPr>
                <w:rFonts w:hint="eastAsia"/>
                <w:color w:val="auto"/>
              </w:rPr>
              <w:t>β-胡萝卜素的</w:t>
            </w:r>
            <w:r>
              <w:rPr>
                <w:color w:val="auto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藻蓝蛋白，%</w:t>
            </w:r>
            <w:r>
              <w:rPr>
                <w:color w:val="auto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pacing w:val="-4"/>
              </w:rPr>
              <w:t>≥</w:t>
            </w:r>
          </w:p>
        </w:tc>
        <w:tc>
          <w:tcPr>
            <w:tcW w:w="2834" w:type="dxa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</w:rPr>
              <w:t>5.00</w:t>
            </w:r>
          </w:p>
        </w:tc>
        <w:tc>
          <w:tcPr>
            <w:tcW w:w="2798" w:type="dxa"/>
          </w:tcPr>
          <w:p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2</w:t>
            </w:r>
            <w:r>
              <w:rPr>
                <w:rFonts w:hint="eastAsia"/>
                <w:color w:val="auto"/>
              </w:rPr>
              <w:t>藻蓝蛋白的</w:t>
            </w:r>
            <w:r>
              <w:rPr>
                <w:color w:val="auto"/>
              </w:rPr>
              <w:t>测定</w:t>
            </w:r>
          </w:p>
        </w:tc>
      </w:tr>
    </w:tbl>
    <w:p>
      <w:pPr>
        <w:spacing w:line="360" w:lineRule="auto"/>
        <w:rPr>
          <w:color w:val="auto"/>
        </w:rPr>
      </w:pPr>
      <w:r>
        <w:rPr>
          <w:rFonts w:ascii="Times New Roman" w:hAnsi="Times New Roman" w:cs="Times New Roman"/>
          <w:color w:val="auto"/>
          <w:spacing w:val="-4"/>
        </w:rPr>
        <w:t>1</w:t>
      </w:r>
      <w:r>
        <w:rPr>
          <w:rFonts w:hint="eastAsia"/>
          <w:color w:val="auto"/>
        </w:rPr>
        <w:t>β-胡萝卜素的</w:t>
      </w:r>
      <w:r>
        <w:rPr>
          <w:color w:val="auto"/>
        </w:rPr>
        <w:t>测定</w:t>
      </w:r>
    </w:p>
    <w:p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</w:rPr>
        <w:t>.1</w:t>
      </w:r>
      <w:r>
        <w:rPr>
          <w:rFonts w:ascii="Times New Roman" w:hAnsi="Times New Roman" w:cs="Times New Roman"/>
          <w:color w:val="auto"/>
        </w:rPr>
        <w:t>试剂和材料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1.1.1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氢氧化钾溶液</w:t>
      </w:r>
      <w:r>
        <w:rPr>
          <w:rFonts w:ascii="Times New Roman" w:hAnsi="Times New Roman" w:cs="Times New Roman"/>
          <w:color w:val="auto"/>
        </w:rPr>
        <w:t>:</w:t>
      </w:r>
      <w:r>
        <w:rPr>
          <w:rFonts w:hint="eastAsia" w:ascii="Times New Roman" w:hAnsi="Times New Roman" w:cs="Times New Roman"/>
          <w:color w:val="auto"/>
        </w:rPr>
        <w:t>称固体氢氧化钾</w:t>
      </w:r>
      <w:r>
        <w:rPr>
          <w:rFonts w:ascii="Times New Roman" w:hAnsi="Times New Roman" w:cs="Times New Roman"/>
          <w:color w:val="auto"/>
        </w:rPr>
        <w:t>500g,</w:t>
      </w:r>
      <w:r>
        <w:rPr>
          <w:rFonts w:hint="eastAsia" w:ascii="Times New Roman" w:hAnsi="Times New Roman" w:cs="Times New Roman"/>
          <w:color w:val="auto"/>
        </w:rPr>
        <w:t>加入</w:t>
      </w:r>
      <w:r>
        <w:rPr>
          <w:rFonts w:ascii="Times New Roman" w:hAnsi="Times New Roman" w:cs="Times New Roman"/>
          <w:color w:val="auto"/>
        </w:rPr>
        <w:t>500mL</w:t>
      </w:r>
      <w:r>
        <w:rPr>
          <w:rFonts w:hint="eastAsia" w:ascii="Times New Roman" w:hAnsi="Times New Roman" w:cs="Times New Roman"/>
          <w:color w:val="auto"/>
        </w:rPr>
        <w:t>水溶解。临用前配制。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1.1.2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无水硫酸钠</w:t>
      </w:r>
      <w:r>
        <w:rPr>
          <w:rFonts w:ascii="Times New Roman" w:hAnsi="Times New Roman" w:cs="Times New Roman"/>
          <w:color w:val="auto"/>
        </w:rPr>
        <w:t>(Na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SO</w:t>
      </w:r>
      <w:r>
        <w:rPr>
          <w:rFonts w:ascii="Times New Roman" w:hAnsi="Times New Roman" w:cs="Times New Roman"/>
          <w:color w:val="auto"/>
          <w:vertAlign w:val="subscript"/>
        </w:rPr>
        <w:t>4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hint="eastAsia" w:ascii="Times New Roman" w:hAnsi="Times New Roman" w:cs="Times New Roman"/>
          <w:color w:val="auto"/>
        </w:rPr>
        <w:t>，分析纯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1.1.3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抗坏血酸</w:t>
      </w:r>
      <w:r>
        <w:rPr>
          <w:rFonts w:ascii="Times New Roman" w:hAnsi="Times New Roman" w:cs="Times New Roman"/>
          <w:color w:val="auto"/>
        </w:rPr>
        <w:t>(C</w:t>
      </w:r>
      <w:r>
        <w:rPr>
          <w:rFonts w:ascii="Times New Roman" w:hAnsi="Times New Roman" w:cs="Times New Roman"/>
          <w:color w:val="auto"/>
          <w:vertAlign w:val="subscript"/>
        </w:rPr>
        <w:t>6</w:t>
      </w:r>
      <w:r>
        <w:rPr>
          <w:rFonts w:ascii="Times New Roman" w:hAnsi="Times New Roman" w:cs="Times New Roman"/>
          <w:color w:val="auto"/>
        </w:rPr>
        <w:t>H</w:t>
      </w:r>
      <w:r>
        <w:rPr>
          <w:rFonts w:ascii="Times New Roman" w:hAnsi="Times New Roman" w:cs="Times New Roman"/>
          <w:color w:val="auto"/>
          <w:vertAlign w:val="subscript"/>
        </w:rPr>
        <w:t>8</w:t>
      </w:r>
      <w:r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  <w:vertAlign w:val="subscript"/>
        </w:rPr>
        <w:t>6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hint="eastAsia" w:ascii="Times New Roman" w:hAnsi="Times New Roman" w:cs="Times New Roman"/>
          <w:color w:val="auto"/>
        </w:rPr>
        <w:t>，分析纯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1.1.4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石油醚：沸程</w:t>
      </w:r>
      <w:r>
        <w:rPr>
          <w:rFonts w:ascii="Times New Roman" w:hAnsi="Times New Roman" w:cs="Times New Roman"/>
          <w:color w:val="auto"/>
        </w:rPr>
        <w:t>30</w:t>
      </w:r>
      <w:r>
        <w:rPr>
          <w:rFonts w:hint="eastAsia" w:ascii="Times New Roman" w:hAnsi="Times New Roman" w:cs="Times New Roman"/>
          <w:color w:val="auto"/>
        </w:rPr>
        <w:t>℃</w:t>
      </w:r>
      <w:r>
        <w:rPr>
          <w:rFonts w:ascii="Times New Roman" w:hAnsi="Times New Roman" w:cs="Times New Roman"/>
          <w:color w:val="auto"/>
        </w:rPr>
        <w:t>~60</w:t>
      </w:r>
      <w:r>
        <w:rPr>
          <w:rFonts w:hint="eastAsia" w:ascii="Times New Roman" w:hAnsi="Times New Roman" w:cs="Times New Roman"/>
          <w:color w:val="auto"/>
        </w:rPr>
        <w:t>℃，分析纯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1.1.5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甲醇</w:t>
      </w:r>
      <w:r>
        <w:rPr>
          <w:rFonts w:ascii="Times New Roman" w:hAnsi="Times New Roman" w:cs="Times New Roman"/>
          <w:color w:val="auto"/>
        </w:rPr>
        <w:t>(CH</w:t>
      </w:r>
      <w:r>
        <w:rPr>
          <w:rFonts w:ascii="Times New Roman" w:hAnsi="Times New Roman" w:cs="Times New Roman"/>
          <w:color w:val="auto"/>
          <w:vertAlign w:val="subscript"/>
        </w:rPr>
        <w:t>4</w:t>
      </w:r>
      <w:r>
        <w:rPr>
          <w:rFonts w:ascii="Times New Roman" w:hAnsi="Times New Roman" w:cs="Times New Roman"/>
          <w:color w:val="auto"/>
        </w:rPr>
        <w:t>O)</w:t>
      </w:r>
      <w:r>
        <w:rPr>
          <w:rFonts w:hint="eastAsia" w:ascii="Times New Roman" w:hAnsi="Times New Roman" w:cs="Times New Roman"/>
          <w:color w:val="auto"/>
        </w:rPr>
        <w:t>，色谱纯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1.1.6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乙腈</w:t>
      </w:r>
      <w:r>
        <w:rPr>
          <w:rFonts w:ascii="Times New Roman" w:hAnsi="Times New Roman" w:cs="Times New Roman"/>
          <w:color w:val="auto"/>
        </w:rPr>
        <w:t>(C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H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N)</w:t>
      </w:r>
      <w:r>
        <w:rPr>
          <w:rFonts w:hint="eastAsia" w:ascii="Times New Roman" w:hAnsi="Times New Roman" w:cs="Times New Roman"/>
          <w:color w:val="auto"/>
        </w:rPr>
        <w:t>，色谱纯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1.1.7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甲基叔丁基醚</w:t>
      </w:r>
      <w:r>
        <w:rPr>
          <w:rFonts w:ascii="Times New Roman" w:hAnsi="Times New Roman" w:cs="Times New Roman"/>
          <w:color w:val="auto"/>
        </w:rPr>
        <w:t>[CH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OC(CH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]</w:t>
      </w:r>
      <w:r>
        <w:rPr>
          <w:rFonts w:hint="eastAsia" w:ascii="Times New Roman" w:hAnsi="Times New Roman" w:cs="Times New Roman"/>
          <w:color w:val="auto"/>
        </w:rPr>
        <w:t>，色谱纯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1.1.8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二氯甲烷</w:t>
      </w:r>
      <w:r>
        <w:rPr>
          <w:rFonts w:ascii="Times New Roman" w:hAnsi="Times New Roman" w:cs="Times New Roman"/>
          <w:color w:val="auto"/>
        </w:rPr>
        <w:t>(CH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Cl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hint="eastAsia" w:ascii="Times New Roman" w:hAnsi="Times New Roman" w:cs="Times New Roman"/>
          <w:color w:val="auto"/>
        </w:rPr>
        <w:t>，色谱纯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1.1.9 </w:t>
      </w:r>
      <w:r>
        <w:rPr>
          <w:rFonts w:hint="eastAsia" w:ascii="Times New Roman" w:hAnsi="Times New Roman" w:cs="Times New Roman"/>
          <w:color w:val="auto"/>
        </w:rPr>
        <w:t>无水乙醇</w:t>
      </w:r>
      <w:r>
        <w:rPr>
          <w:rFonts w:ascii="Times New Roman" w:hAnsi="Times New Roman" w:cs="Times New Roman"/>
          <w:color w:val="auto"/>
        </w:rPr>
        <w:t>(C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H</w:t>
      </w:r>
      <w:r>
        <w:rPr>
          <w:rFonts w:ascii="Times New Roman" w:hAnsi="Times New Roman" w:cs="Times New Roman"/>
          <w:color w:val="auto"/>
          <w:vertAlign w:val="subscript"/>
        </w:rPr>
        <w:t>6</w:t>
      </w:r>
      <w:r>
        <w:rPr>
          <w:rFonts w:ascii="Times New Roman" w:hAnsi="Times New Roman" w:cs="Times New Roman"/>
          <w:color w:val="auto"/>
        </w:rPr>
        <w:t>O)</w:t>
      </w:r>
      <w:r>
        <w:rPr>
          <w:rFonts w:hint="eastAsia" w:ascii="Times New Roman" w:hAnsi="Times New Roman" w:cs="Times New Roman"/>
          <w:color w:val="auto"/>
        </w:rPr>
        <w:t>，优级纯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1.1.10 </w:t>
      </w:r>
      <w:r>
        <w:rPr>
          <w:rFonts w:hint="eastAsia" w:ascii="Times New Roman" w:hAnsi="Times New Roman" w:cs="Times New Roman"/>
          <w:color w:val="auto"/>
        </w:rPr>
        <w:t>水，符合</w:t>
      </w:r>
      <w:r>
        <w:rPr>
          <w:rFonts w:ascii="Times New Roman" w:hAnsi="Times New Roman" w:cs="Times New Roman"/>
          <w:color w:val="auto"/>
        </w:rPr>
        <w:t>GB/T6682</w:t>
      </w:r>
      <w:r>
        <w:rPr>
          <w:rFonts w:hint="eastAsia" w:ascii="Times New Roman" w:hAnsi="Times New Roman" w:cs="Times New Roman"/>
          <w:color w:val="auto"/>
        </w:rPr>
        <w:t>规定的一级水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1.1.11 碘溶液(I</w:t>
      </w:r>
      <w:r>
        <w:rPr>
          <w:rFonts w:hint="eastAsia" w:ascii="Times New Roman" w:hAnsi="Times New Roman" w:cs="Times New Roman"/>
          <w:color w:val="auto"/>
          <w:vertAlign w:val="subscript"/>
        </w:rPr>
        <w:t>2</w:t>
      </w:r>
      <w:r>
        <w:rPr>
          <w:rFonts w:hint="eastAsia" w:ascii="Times New Roman" w:hAnsi="Times New Roman" w:cs="Times New Roman"/>
          <w:color w:val="auto"/>
        </w:rPr>
        <w:t>):0.5 mol/L浓度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12 2</w:t>
      </w:r>
      <w:r>
        <w:rPr>
          <w:rFonts w:hint="eastAsia" w:ascii="Times New Roman" w:hAnsi="Times New Roman" w:cs="Times New Roman"/>
          <w:color w:val="auto"/>
        </w:rPr>
        <w:t>,6-二叔丁基-4-甲基苯酚(C</w:t>
      </w:r>
      <w:r>
        <w:rPr>
          <w:rFonts w:hint="eastAsia" w:ascii="Times New Roman" w:hAnsi="Times New Roman" w:cs="Times New Roman"/>
          <w:color w:val="auto"/>
          <w:vertAlign w:val="subscript"/>
        </w:rPr>
        <w:t>15</w:t>
      </w:r>
      <w:r>
        <w:rPr>
          <w:rFonts w:hint="eastAsia" w:ascii="Times New Roman" w:hAnsi="Times New Roman" w:cs="Times New Roman"/>
          <w:color w:val="auto"/>
        </w:rPr>
        <w:t>H</w:t>
      </w:r>
      <w:r>
        <w:rPr>
          <w:rFonts w:hint="eastAsia" w:ascii="Times New Roman" w:hAnsi="Times New Roman" w:cs="Times New Roman"/>
          <w:color w:val="auto"/>
          <w:vertAlign w:val="subscript"/>
        </w:rPr>
        <w:t>24</w:t>
      </w:r>
      <w:r>
        <w:rPr>
          <w:rFonts w:hint="eastAsia" w:ascii="Times New Roman" w:hAnsi="Times New Roman" w:cs="Times New Roman"/>
          <w:color w:val="auto"/>
        </w:rPr>
        <w:t>O，BHT)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1.2</w:t>
      </w:r>
      <w:r>
        <w:rPr>
          <w:rFonts w:ascii="Times New Roman" w:hAnsi="Times New Roman" w:cs="Times New Roman"/>
          <w:color w:val="auto"/>
        </w:rPr>
        <w:t xml:space="preserve"> 仪器和设备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1.2.1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匀浆机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.2.2 </w:t>
      </w:r>
      <w:r>
        <w:rPr>
          <w:rFonts w:hint="eastAsia" w:ascii="Times New Roman" w:hAnsi="Times New Roman" w:cs="Times New Roman"/>
          <w:color w:val="auto"/>
        </w:rPr>
        <w:t>高速粉碎机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1.2.3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恒温振荡水浴箱（控温精度</w:t>
      </w:r>
      <w:r>
        <w:rPr>
          <w:rFonts w:ascii="Times New Roman" w:hAnsi="Times New Roman" w:cs="Times New Roman"/>
          <w:color w:val="auto"/>
        </w:rPr>
        <w:t>±1</w:t>
      </w:r>
      <w:r>
        <w:rPr>
          <w:rFonts w:hint="eastAsia" w:ascii="Times New Roman" w:hAnsi="Times New Roman" w:cs="Times New Roman"/>
          <w:color w:val="auto"/>
        </w:rPr>
        <w:t>℃）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1.2.4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旋转蒸发器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1.2.5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氮吹仪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1.2.6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紫外</w:t>
      </w:r>
      <w:r>
        <w:rPr>
          <w:rFonts w:ascii="Times New Roman" w:hAnsi="Times New Roman" w:cs="Times New Roman"/>
          <w:color w:val="auto"/>
        </w:rPr>
        <w:t>-</w:t>
      </w:r>
      <w:r>
        <w:rPr>
          <w:rFonts w:hint="eastAsia" w:ascii="Times New Roman" w:hAnsi="Times New Roman" w:cs="Times New Roman"/>
          <w:color w:val="auto"/>
        </w:rPr>
        <w:t>可见光分光光度计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1.2.7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高效液相色谱仪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hint="eastAsia" w:ascii="Times New Roman" w:hAnsi="Times New Roman" w:cs="Times New Roman"/>
          <w:color w:val="auto"/>
        </w:rPr>
        <w:t>带紫外检测器</w:t>
      </w:r>
      <w:r>
        <w:rPr>
          <w:rFonts w:ascii="Times New Roman" w:hAnsi="Times New Roman" w:cs="Times New Roman"/>
          <w:color w:val="auto"/>
        </w:rPr>
        <w:t>)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1.3 对照品溶液制备</w:t>
      </w: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left="424" w:hanging="424" w:hangingChars="2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1.3.1 </w:t>
      </w:r>
      <w:r>
        <w:rPr>
          <w:rFonts w:hint="eastAsia"/>
          <w:color w:val="auto"/>
        </w:rPr>
        <w:t>β-胡萝卜素</w:t>
      </w:r>
      <w:r>
        <w:rPr>
          <w:rFonts w:hint="eastAsia" w:ascii="Times New Roman" w:hAnsi="Times New Roman" w:cs="Times New Roman"/>
          <w:color w:val="auto"/>
        </w:rPr>
        <w:t>标准储备液</w:t>
      </w:r>
      <w:r>
        <w:rPr>
          <w:rFonts w:ascii="Times New Roman" w:hAnsi="Times New Roman" w:cs="Times New Roman"/>
          <w:color w:val="auto"/>
        </w:rPr>
        <w:t>(500μg/mL)</w:t>
      </w:r>
    </w:p>
    <w:p>
      <w:pPr>
        <w:autoSpaceDE w:val="0"/>
        <w:autoSpaceDN w:val="0"/>
        <w:adjustRightInd w:val="0"/>
        <w:snapToGrid w:val="0"/>
        <w:spacing w:line="360" w:lineRule="auto"/>
        <w:ind w:left="2"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准确称取</w:t>
      </w:r>
      <w:r>
        <w:rPr>
          <w:rFonts w:hint="eastAsia"/>
          <w:color w:val="auto"/>
        </w:rPr>
        <w:t>β-胡萝卜素</w:t>
      </w:r>
      <w:r>
        <w:rPr>
          <w:rFonts w:hint="eastAsia" w:ascii="Times New Roman" w:hAnsi="Times New Roman" w:cs="Times New Roman"/>
          <w:color w:val="auto"/>
        </w:rPr>
        <w:t>标准品</w:t>
      </w:r>
      <w:r>
        <w:rPr>
          <w:rFonts w:ascii="Times New Roman" w:hAnsi="Times New Roman" w:cs="Times New Roman"/>
          <w:color w:val="auto"/>
        </w:rPr>
        <w:t>25mg(</w:t>
      </w:r>
      <w:r>
        <w:rPr>
          <w:rFonts w:hint="eastAsia" w:ascii="Times New Roman" w:hAnsi="Times New Roman" w:cs="Times New Roman"/>
          <w:color w:val="auto"/>
        </w:rPr>
        <w:t>精确到</w:t>
      </w:r>
      <w:r>
        <w:rPr>
          <w:rFonts w:ascii="Times New Roman" w:hAnsi="Times New Roman" w:cs="Times New Roman"/>
          <w:color w:val="auto"/>
        </w:rPr>
        <w:t>0.1mg)</w:t>
      </w:r>
      <w:r>
        <w:rPr>
          <w:rFonts w:hint="eastAsia" w:ascii="Times New Roman" w:hAnsi="Times New Roman" w:cs="Times New Roman"/>
          <w:color w:val="auto"/>
        </w:rPr>
        <w:t>，加入</w:t>
      </w:r>
      <w:r>
        <w:rPr>
          <w:rFonts w:ascii="Times New Roman" w:hAnsi="Times New Roman" w:cs="Times New Roman"/>
          <w:color w:val="auto"/>
        </w:rPr>
        <w:t>0.125gBHT</w:t>
      </w:r>
      <w:r>
        <w:rPr>
          <w:rFonts w:hint="eastAsia" w:ascii="Times New Roman" w:hAnsi="Times New Roman" w:cs="Times New Roman"/>
          <w:color w:val="auto"/>
        </w:rPr>
        <w:t>，用二氯甲烷溶解，转移至</w:t>
      </w:r>
      <w:r>
        <w:rPr>
          <w:rFonts w:ascii="Times New Roman" w:hAnsi="Times New Roman" w:cs="Times New Roman"/>
          <w:color w:val="auto"/>
        </w:rPr>
        <w:t>50mL</w:t>
      </w:r>
      <w:r>
        <w:rPr>
          <w:rFonts w:hint="eastAsia" w:ascii="Times New Roman" w:hAnsi="Times New Roman" w:cs="Times New Roman"/>
          <w:color w:val="auto"/>
        </w:rPr>
        <w:t>棕色容量瓶中定容至刻度。</w:t>
      </w:r>
    </w:p>
    <w:p>
      <w:pPr>
        <w:autoSpaceDE w:val="0"/>
        <w:autoSpaceDN w:val="0"/>
        <w:adjustRightInd w:val="0"/>
        <w:snapToGrid w:val="0"/>
        <w:spacing w:line="360" w:lineRule="auto"/>
        <w:ind w:left="424" w:hanging="424" w:hangingChars="2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β-胡萝卜素</w:t>
      </w:r>
      <w:r>
        <w:rPr>
          <w:rFonts w:hint="eastAsia" w:ascii="Times New Roman" w:hAnsi="Times New Roman" w:cs="Times New Roman"/>
          <w:color w:val="auto"/>
        </w:rPr>
        <w:t>标准中间液</w:t>
      </w:r>
      <w:r>
        <w:rPr>
          <w:rFonts w:ascii="Times New Roman" w:hAnsi="Times New Roman" w:cs="Times New Roman"/>
          <w:color w:val="auto"/>
        </w:rPr>
        <w:t>(100 μg/mL)</w:t>
      </w:r>
    </w:p>
    <w:p>
      <w:pPr>
        <w:autoSpaceDE w:val="0"/>
        <w:autoSpaceDN w:val="0"/>
        <w:adjustRightInd w:val="0"/>
        <w:snapToGrid w:val="0"/>
        <w:spacing w:line="360" w:lineRule="auto"/>
        <w:ind w:left="2"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从</w:t>
      </w:r>
      <w:r>
        <w:rPr>
          <w:rFonts w:hint="eastAsia"/>
          <w:color w:val="auto"/>
        </w:rPr>
        <w:t>β-胡萝卜素</w:t>
      </w:r>
      <w:r>
        <w:rPr>
          <w:rFonts w:hint="eastAsia" w:ascii="Times New Roman" w:hAnsi="Times New Roman" w:cs="Times New Roman"/>
          <w:color w:val="auto"/>
        </w:rPr>
        <w:t>标准储备液中准确移取10</w:t>
      </w:r>
      <w:r>
        <w:rPr>
          <w:rFonts w:ascii="Times New Roman" w:hAnsi="Times New Roman" w:cs="Times New Roman"/>
          <w:color w:val="auto"/>
        </w:rPr>
        <w:t>.0 mL</w:t>
      </w:r>
      <w:r>
        <w:rPr>
          <w:rFonts w:hint="eastAsia" w:ascii="Times New Roman" w:hAnsi="Times New Roman" w:cs="Times New Roman"/>
          <w:color w:val="auto"/>
        </w:rPr>
        <w:t>溶液于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hint="eastAsia"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mL</w:t>
      </w:r>
      <w:r>
        <w:rPr>
          <w:rFonts w:hint="eastAsia" w:ascii="Times New Roman" w:hAnsi="Times New Roman" w:cs="Times New Roman"/>
          <w:color w:val="auto"/>
        </w:rPr>
        <w:t>棕色容量瓶中，用二氯甲烷定容至刻度。</w:t>
      </w:r>
    </w:p>
    <w:p>
      <w:pPr>
        <w:autoSpaceDE w:val="0"/>
        <w:autoSpaceDN w:val="0"/>
        <w:adjustRightInd w:val="0"/>
        <w:snapToGrid w:val="0"/>
        <w:spacing w:line="360" w:lineRule="auto"/>
        <w:ind w:left="424" w:leftChars="1" w:hanging="422" w:hangingChars="20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1.3.3 </w:t>
      </w:r>
      <w:r>
        <w:rPr>
          <w:rFonts w:hint="eastAsia"/>
          <w:color w:val="auto"/>
        </w:rPr>
        <w:t>β-胡萝卜素</w:t>
      </w:r>
      <w:r>
        <w:rPr>
          <w:rFonts w:hint="eastAsia" w:ascii="Times New Roman" w:hAnsi="Times New Roman" w:cs="Times New Roman"/>
          <w:color w:val="auto"/>
        </w:rPr>
        <w:t>标准工作液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从</w:t>
      </w:r>
      <w:r>
        <w:rPr>
          <w:rFonts w:hint="eastAsia"/>
          <w:color w:val="auto"/>
        </w:rPr>
        <w:t>β-胡萝卜素</w:t>
      </w:r>
      <w:r>
        <w:rPr>
          <w:rFonts w:hint="eastAsia" w:ascii="Times New Roman" w:hAnsi="Times New Roman" w:cs="Times New Roman"/>
          <w:color w:val="auto"/>
        </w:rPr>
        <w:t>标准中间液中分别准确移取</w:t>
      </w:r>
      <w:r>
        <w:rPr>
          <w:rFonts w:ascii="Times New Roman" w:hAnsi="Times New Roman" w:cs="Times New Roman"/>
          <w:color w:val="auto"/>
        </w:rPr>
        <w:t>0.50 mL</w:t>
      </w:r>
      <w:r>
        <w:rPr>
          <w:rFonts w:hint="eastAsia" w:ascii="Times New Roman" w:hAnsi="Times New Roman" w:cs="Times New Roman"/>
          <w:color w:val="auto"/>
        </w:rPr>
        <w:t>、1</w:t>
      </w:r>
      <w:r>
        <w:rPr>
          <w:rFonts w:ascii="Times New Roman" w:hAnsi="Times New Roman" w:cs="Times New Roman"/>
          <w:color w:val="auto"/>
        </w:rPr>
        <w:t>.00 mL</w:t>
      </w:r>
      <w:r>
        <w:rPr>
          <w:rFonts w:hint="eastAsia" w:ascii="Times New Roman" w:hAnsi="Times New Roman" w:cs="Times New Roman"/>
          <w:color w:val="auto"/>
        </w:rPr>
        <w:t>、2</w:t>
      </w:r>
      <w:r>
        <w:rPr>
          <w:rFonts w:ascii="Times New Roman" w:hAnsi="Times New Roman" w:cs="Times New Roman"/>
          <w:color w:val="auto"/>
        </w:rPr>
        <w:t>.00 mL</w:t>
      </w:r>
      <w:r>
        <w:rPr>
          <w:rFonts w:hint="eastAsia" w:ascii="Times New Roman" w:hAnsi="Times New Roman" w:cs="Times New Roman"/>
          <w:color w:val="auto"/>
        </w:rPr>
        <w:t>、3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hint="eastAsia"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0 mL</w:t>
      </w:r>
      <w:r>
        <w:rPr>
          <w:rFonts w:hint="eastAsia" w:ascii="Times New Roman" w:hAnsi="Times New Roman" w:cs="Times New Roman"/>
          <w:color w:val="auto"/>
        </w:rPr>
        <w:t>、4</w:t>
      </w:r>
      <w:r>
        <w:rPr>
          <w:rFonts w:ascii="Times New Roman" w:hAnsi="Times New Roman" w:cs="Times New Roman"/>
          <w:color w:val="auto"/>
        </w:rPr>
        <w:t>.00 mL</w:t>
      </w:r>
      <w:r>
        <w:rPr>
          <w:rFonts w:hint="eastAsia" w:ascii="Times New Roman" w:hAnsi="Times New Roman" w:cs="Times New Roman"/>
          <w:color w:val="auto"/>
        </w:rPr>
        <w:t>、10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hint="eastAsia"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0 mL</w:t>
      </w:r>
      <w:r>
        <w:rPr>
          <w:rFonts w:hint="eastAsia" w:ascii="Times New Roman" w:hAnsi="Times New Roman" w:cs="Times New Roman"/>
          <w:color w:val="auto"/>
        </w:rPr>
        <w:t>溶液至6个10</w:t>
      </w:r>
      <w:r>
        <w:rPr>
          <w:rFonts w:ascii="Times New Roman" w:hAnsi="Times New Roman" w:cs="Times New Roman"/>
          <w:color w:val="auto"/>
        </w:rPr>
        <w:t>0 mL</w:t>
      </w:r>
      <w:r>
        <w:rPr>
          <w:rFonts w:hint="eastAsia" w:ascii="Times New Roman" w:hAnsi="Times New Roman" w:cs="Times New Roman"/>
          <w:color w:val="auto"/>
        </w:rPr>
        <w:t>棕色容量瓶。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用二氯甲烷定容至刻度，得到浓度为0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hint="eastAsia"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μg/mL</w:t>
      </w:r>
      <w:r>
        <w:rPr>
          <w:rFonts w:hint="eastAsia"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1.0 μg/mL</w:t>
      </w:r>
      <w:r>
        <w:rPr>
          <w:rFonts w:hint="eastAsia" w:ascii="Times New Roman" w:hAnsi="Times New Roman" w:cs="Times New Roman"/>
          <w:color w:val="auto"/>
        </w:rPr>
        <w:t>、2</w:t>
      </w:r>
      <w:r>
        <w:rPr>
          <w:rFonts w:ascii="Times New Roman" w:hAnsi="Times New Roman" w:cs="Times New Roman"/>
          <w:color w:val="auto"/>
        </w:rPr>
        <w:t>.0 μg/mL</w:t>
      </w:r>
      <w:r>
        <w:rPr>
          <w:rFonts w:hint="eastAsia" w:ascii="Times New Roman" w:hAnsi="Times New Roman" w:cs="Times New Roman"/>
          <w:color w:val="auto"/>
        </w:rPr>
        <w:t>、3.0</w:t>
      </w:r>
      <w:r>
        <w:rPr>
          <w:rFonts w:ascii="Times New Roman" w:hAnsi="Times New Roman" w:cs="Times New Roman"/>
          <w:color w:val="auto"/>
        </w:rPr>
        <w:t xml:space="preserve"> μg/mL</w:t>
      </w:r>
      <w:r>
        <w:rPr>
          <w:rFonts w:hint="eastAsia" w:ascii="Times New Roman" w:hAnsi="Times New Roman" w:cs="Times New Roman"/>
          <w:color w:val="auto"/>
        </w:rPr>
        <w:t>、4.0</w:t>
      </w:r>
      <w:r>
        <w:rPr>
          <w:rFonts w:ascii="Times New Roman" w:hAnsi="Times New Roman" w:cs="Times New Roman"/>
          <w:color w:val="auto"/>
        </w:rPr>
        <w:t xml:space="preserve"> μg/mL</w:t>
      </w:r>
      <w:r>
        <w:rPr>
          <w:rFonts w:hint="eastAsia" w:ascii="Times New Roman" w:hAnsi="Times New Roman" w:cs="Times New Roman"/>
          <w:color w:val="auto"/>
        </w:rPr>
        <w:t>、1</w:t>
      </w:r>
      <w:r>
        <w:rPr>
          <w:rFonts w:ascii="Times New Roman" w:hAnsi="Times New Roman" w:cs="Times New Roman"/>
          <w:color w:val="auto"/>
        </w:rPr>
        <w:t>0 μg/mL</w:t>
      </w:r>
      <w:r>
        <w:rPr>
          <w:rFonts w:hint="eastAsia" w:ascii="Times New Roman" w:hAnsi="Times New Roman" w:cs="Times New Roman"/>
          <w:color w:val="auto"/>
        </w:rPr>
        <w:t>的系列标准工作液。</w:t>
      </w:r>
    </w:p>
    <w:p>
      <w:pPr>
        <w:autoSpaceDE w:val="0"/>
        <w:autoSpaceDN w:val="0"/>
        <w:adjustRightInd w:val="0"/>
        <w:snapToGrid w:val="0"/>
        <w:spacing w:line="360" w:lineRule="auto"/>
        <w:ind w:left="424" w:leftChars="1" w:hanging="422" w:hangingChars="20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1.3.4 碘乙醇溶液(0.05</w:t>
      </w: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mol/L)</w:t>
      </w:r>
    </w:p>
    <w:p>
      <w:pPr>
        <w:autoSpaceDE w:val="0"/>
        <w:autoSpaceDN w:val="0"/>
        <w:adjustRightInd w:val="0"/>
        <w:snapToGrid w:val="0"/>
        <w:spacing w:line="360" w:lineRule="auto"/>
        <w:ind w:left="424" w:leftChars="201" w:hanging="2" w:hangingChars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吸取5</w:t>
      </w: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mL碘溶液,用乙醇稀释至50</w:t>
      </w: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mL,混匀。</w:t>
      </w:r>
    </w:p>
    <w:p>
      <w:pPr>
        <w:autoSpaceDE w:val="0"/>
        <w:autoSpaceDN w:val="0"/>
        <w:adjustRightInd w:val="0"/>
        <w:snapToGrid w:val="0"/>
        <w:spacing w:line="360" w:lineRule="auto"/>
        <w:ind w:left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1.3.5 异构化β</w:t>
      </w:r>
      <w:r>
        <w:rPr>
          <w:rFonts w:hint="eastAsia"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>胡萝卜素溶液</w:t>
      </w:r>
    </w:p>
    <w:p>
      <w:pPr>
        <w:autoSpaceDE w:val="0"/>
        <w:autoSpaceDN w:val="0"/>
        <w:adjustRightInd w:val="0"/>
        <w:snapToGrid w:val="0"/>
        <w:spacing w:line="360" w:lineRule="auto"/>
        <w:ind w:left="2"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取10 mL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标准储备液于烧杯中，加入20 μL碘乙醇溶液，摇匀后于日光下或距离40 W日光灯30 cm处照射15 min，用二氯甲烷稀释至50 mL。摇匀后过0.45 μm滤膜，备HPLC色谱分析用。</w:t>
      </w:r>
    </w:p>
    <w:p>
      <w:pPr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1.4供试品溶液制备</w:t>
      </w:r>
    </w:p>
    <w:p>
      <w:pPr>
        <w:snapToGrid w:val="0"/>
        <w:spacing w:line="360" w:lineRule="auto"/>
        <w:ind w:left="424" w:hanging="424" w:hangingChars="202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1.4.1 </w:t>
      </w:r>
      <w:r>
        <w:rPr>
          <w:rFonts w:hint="eastAsia" w:ascii="Times New Roman" w:hAnsi="Times New Roman" w:cs="Times New Roman"/>
          <w:color w:val="auto"/>
        </w:rPr>
        <w:t>预处理</w:t>
      </w:r>
    </w:p>
    <w:p>
      <w:pPr>
        <w:snapToGrid w:val="0"/>
        <w:spacing w:line="360" w:lineRule="auto"/>
        <w:ind w:left="2"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精确称取</w:t>
      </w:r>
      <w:r>
        <w:rPr>
          <w:rFonts w:ascii="Times New Roman" w:hAnsi="Times New Roman" w:cs="Times New Roman"/>
          <w:color w:val="auto"/>
        </w:rPr>
        <w:t>1g~5g (</w:t>
      </w:r>
      <w:r>
        <w:rPr>
          <w:rFonts w:hint="eastAsia" w:ascii="Times New Roman" w:hAnsi="Times New Roman" w:cs="Times New Roman"/>
          <w:color w:val="auto"/>
        </w:rPr>
        <w:t>精确至</w:t>
      </w:r>
      <w:r>
        <w:rPr>
          <w:rFonts w:ascii="Times New Roman" w:hAnsi="Times New Roman" w:cs="Times New Roman"/>
          <w:color w:val="auto"/>
        </w:rPr>
        <w:t>0.001g)</w:t>
      </w:r>
      <w:r>
        <w:rPr>
          <w:rFonts w:hint="eastAsia" w:ascii="Times New Roman" w:hAnsi="Times New Roman" w:cs="Times New Roman"/>
          <w:color w:val="auto"/>
        </w:rPr>
        <w:t>螺旋藻粉，转至</w:t>
      </w:r>
      <w:r>
        <w:rPr>
          <w:rFonts w:ascii="Times New Roman" w:hAnsi="Times New Roman" w:cs="Times New Roman"/>
          <w:color w:val="auto"/>
        </w:rPr>
        <w:t>250mL</w:t>
      </w:r>
      <w:r>
        <w:rPr>
          <w:rFonts w:hint="eastAsia" w:ascii="Times New Roman" w:hAnsi="Times New Roman" w:cs="Times New Roman"/>
          <w:color w:val="auto"/>
        </w:rPr>
        <w:t>锥形瓶中，加入</w:t>
      </w:r>
      <w:r>
        <w:rPr>
          <w:rFonts w:ascii="Times New Roman" w:hAnsi="Times New Roman" w:cs="Times New Roman"/>
          <w:color w:val="auto"/>
        </w:rPr>
        <w:t>1g</w:t>
      </w:r>
      <w:r>
        <w:rPr>
          <w:rFonts w:hint="eastAsia" w:ascii="Times New Roman" w:hAnsi="Times New Roman" w:cs="Times New Roman"/>
          <w:color w:val="auto"/>
        </w:rPr>
        <w:t>抗坏血酸、</w:t>
      </w:r>
      <w:r>
        <w:rPr>
          <w:rFonts w:ascii="Times New Roman" w:hAnsi="Times New Roman" w:cs="Times New Roman"/>
          <w:color w:val="auto"/>
        </w:rPr>
        <w:t>75mL</w:t>
      </w:r>
      <w:r>
        <w:rPr>
          <w:rFonts w:hint="eastAsia" w:ascii="Times New Roman" w:hAnsi="Times New Roman" w:cs="Times New Roman"/>
          <w:color w:val="auto"/>
        </w:rPr>
        <w:t>无水乙醇，于</w:t>
      </w:r>
      <w:r>
        <w:rPr>
          <w:rFonts w:ascii="Times New Roman" w:hAnsi="Times New Roman" w:cs="Times New Roman"/>
          <w:color w:val="auto"/>
        </w:rPr>
        <w:t>60</w:t>
      </w:r>
      <w:r>
        <w:rPr>
          <w:rFonts w:hint="eastAsia" w:ascii="Times New Roman" w:hAnsi="Times New Roman" w:cs="Times New Roman"/>
          <w:color w:val="auto"/>
        </w:rPr>
        <w:t>℃</w:t>
      </w:r>
      <w:r>
        <w:rPr>
          <w:rFonts w:ascii="Times New Roman" w:hAnsi="Times New Roman" w:cs="Times New Roman"/>
          <w:color w:val="auto"/>
        </w:rPr>
        <w:t>±1</w:t>
      </w:r>
      <w:r>
        <w:rPr>
          <w:rFonts w:hint="eastAsia" w:ascii="Times New Roman" w:hAnsi="Times New Roman" w:cs="Times New Roman"/>
          <w:color w:val="auto"/>
        </w:rPr>
        <w:t>℃水浴振荡</w:t>
      </w:r>
      <w:r>
        <w:rPr>
          <w:rFonts w:ascii="Times New Roman" w:hAnsi="Times New Roman" w:cs="Times New Roman"/>
          <w:color w:val="auto"/>
        </w:rPr>
        <w:t>30min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snapToGrid w:val="0"/>
        <w:spacing w:line="360" w:lineRule="auto"/>
        <w:ind w:left="424" w:hanging="424" w:hangingChars="202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1.4.2 </w:t>
      </w:r>
      <w:r>
        <w:rPr>
          <w:rFonts w:hint="eastAsia" w:ascii="Times New Roman" w:hAnsi="Times New Roman" w:cs="Times New Roman"/>
          <w:color w:val="auto"/>
        </w:rPr>
        <w:t>皂化</w:t>
      </w:r>
    </w:p>
    <w:p>
      <w:pPr>
        <w:snapToGrid w:val="0"/>
        <w:spacing w:line="360" w:lineRule="auto"/>
        <w:ind w:left="-2" w:leftChars="-1"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加入</w:t>
      </w:r>
      <w:r>
        <w:rPr>
          <w:rFonts w:ascii="Times New Roman" w:hAnsi="Times New Roman" w:cs="Times New Roman"/>
          <w:color w:val="auto"/>
        </w:rPr>
        <w:t>25mL</w:t>
      </w:r>
      <w:r>
        <w:rPr>
          <w:rFonts w:hint="eastAsia" w:ascii="Times New Roman" w:hAnsi="Times New Roman" w:cs="Times New Roman"/>
          <w:color w:val="auto"/>
        </w:rPr>
        <w:t>氢氧化钾溶液，盖上瓶塞。置于已预热至</w:t>
      </w:r>
      <w:r>
        <w:rPr>
          <w:rFonts w:ascii="Times New Roman" w:hAnsi="Times New Roman" w:cs="Times New Roman"/>
          <w:color w:val="auto"/>
        </w:rPr>
        <w:t>53</w:t>
      </w:r>
      <w:r>
        <w:rPr>
          <w:rFonts w:hint="eastAsia" w:ascii="Times New Roman" w:hAnsi="Times New Roman" w:cs="Times New Roman"/>
          <w:color w:val="auto"/>
        </w:rPr>
        <w:t>℃</w:t>
      </w:r>
      <w:r>
        <w:rPr>
          <w:rFonts w:ascii="Times New Roman" w:hAnsi="Times New Roman" w:cs="Times New Roman"/>
          <w:color w:val="auto"/>
        </w:rPr>
        <w:t>±2</w:t>
      </w:r>
      <w:r>
        <w:rPr>
          <w:rFonts w:hint="eastAsia" w:ascii="Times New Roman" w:hAnsi="Times New Roman" w:cs="Times New Roman"/>
          <w:color w:val="auto"/>
        </w:rPr>
        <w:t>℃恒温振荡水浴箱中，皂化</w:t>
      </w:r>
      <w:r>
        <w:rPr>
          <w:rFonts w:ascii="Times New Roman" w:hAnsi="Times New Roman" w:cs="Times New Roman"/>
          <w:color w:val="auto"/>
        </w:rPr>
        <w:t>30min</w:t>
      </w:r>
      <w:r>
        <w:rPr>
          <w:rFonts w:hint="eastAsia" w:ascii="Times New Roman" w:hAnsi="Times New Roman" w:cs="Times New Roman"/>
          <w:color w:val="auto"/>
        </w:rPr>
        <w:t>。取出，静置，冷却到室温。</w:t>
      </w:r>
    </w:p>
    <w:p>
      <w:pPr>
        <w:snapToGrid w:val="0"/>
        <w:spacing w:line="360" w:lineRule="auto"/>
        <w:ind w:left="424" w:hanging="424" w:hangingChars="2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1.4.3 </w:t>
      </w:r>
      <w:r>
        <w:rPr>
          <w:rFonts w:hint="eastAsia" w:ascii="Times New Roman" w:hAnsi="Times New Roman" w:cs="Times New Roman"/>
          <w:color w:val="auto"/>
        </w:rPr>
        <w:t>试样萃取</w:t>
      </w:r>
    </w:p>
    <w:p>
      <w:pPr>
        <w:snapToGrid w:val="0"/>
        <w:spacing w:line="360" w:lineRule="auto"/>
        <w:ind w:left="2"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将皂化液转入</w:t>
      </w:r>
      <w:r>
        <w:rPr>
          <w:rFonts w:ascii="Times New Roman" w:hAnsi="Times New Roman" w:cs="Times New Roman"/>
          <w:color w:val="auto"/>
        </w:rPr>
        <w:t>500mL</w:t>
      </w:r>
      <w:r>
        <w:rPr>
          <w:rFonts w:hint="eastAsia" w:ascii="Times New Roman" w:hAnsi="Times New Roman" w:cs="Times New Roman"/>
          <w:color w:val="auto"/>
        </w:rPr>
        <w:t>分液漏斗中，加入</w:t>
      </w:r>
      <w:r>
        <w:rPr>
          <w:rFonts w:ascii="Times New Roman" w:hAnsi="Times New Roman" w:cs="Times New Roman"/>
          <w:color w:val="auto"/>
        </w:rPr>
        <w:t>100mL</w:t>
      </w:r>
      <w:r>
        <w:rPr>
          <w:rFonts w:hint="eastAsia" w:ascii="Times New Roman" w:hAnsi="Times New Roman" w:cs="Times New Roman"/>
          <w:color w:val="auto"/>
        </w:rPr>
        <w:t>石油醚，轻轻摇动，排气，盖好瓶塞，室温下振荡，</w:t>
      </w:r>
      <w:r>
        <w:rPr>
          <w:rFonts w:ascii="Times New Roman" w:hAnsi="Times New Roman" w:cs="Times New Roman"/>
          <w:color w:val="auto"/>
        </w:rPr>
        <w:t>10min</w:t>
      </w:r>
      <w:r>
        <w:rPr>
          <w:rFonts w:hint="eastAsia" w:ascii="Times New Roman" w:hAnsi="Times New Roman" w:cs="Times New Roman"/>
          <w:color w:val="auto"/>
        </w:rPr>
        <w:t>后静置分层，将水相转入另一分液漏斗中按上述方法进行第二次提取。合并有机相，用水洗至近中性。弃水相，有机相通过无水硫酸钠过滤脱水。滤液收入</w:t>
      </w:r>
      <w:r>
        <w:rPr>
          <w:rFonts w:ascii="Times New Roman" w:hAnsi="Times New Roman" w:cs="Times New Roman"/>
          <w:color w:val="auto"/>
        </w:rPr>
        <w:t>500mL</w:t>
      </w:r>
      <w:r>
        <w:rPr>
          <w:rFonts w:hint="eastAsia" w:ascii="Times New Roman" w:hAnsi="Times New Roman" w:cs="Times New Roman"/>
          <w:color w:val="auto"/>
        </w:rPr>
        <w:t>蒸发瓶中，于旋转蒸发器上</w:t>
      </w:r>
      <w:r>
        <w:rPr>
          <w:rFonts w:ascii="Times New Roman" w:hAnsi="Times New Roman" w:cs="Times New Roman"/>
          <w:color w:val="auto"/>
        </w:rPr>
        <w:t>40</w:t>
      </w:r>
      <w:r>
        <w:rPr>
          <w:rFonts w:hint="eastAsia" w:ascii="Times New Roman" w:hAnsi="Times New Roman" w:cs="Times New Roman"/>
          <w:color w:val="auto"/>
        </w:rPr>
        <w:t>℃</w:t>
      </w:r>
      <w:r>
        <w:rPr>
          <w:rFonts w:ascii="Times New Roman" w:hAnsi="Times New Roman" w:cs="Times New Roman"/>
          <w:color w:val="auto"/>
        </w:rPr>
        <w:t>±2</w:t>
      </w:r>
      <w:r>
        <w:rPr>
          <w:rFonts w:hint="eastAsia" w:ascii="Times New Roman" w:hAnsi="Times New Roman" w:cs="Times New Roman"/>
          <w:color w:val="auto"/>
        </w:rPr>
        <w:t>℃减压浓缩，近干。用氮气吹干，用移液管准确加入</w:t>
      </w:r>
      <w:r>
        <w:rPr>
          <w:rFonts w:ascii="Times New Roman" w:hAnsi="Times New Roman" w:cs="Times New Roman"/>
          <w:color w:val="auto"/>
        </w:rPr>
        <w:t>5.0mL</w:t>
      </w:r>
      <w:r>
        <w:rPr>
          <w:rFonts w:hint="eastAsia" w:ascii="Times New Roman" w:hAnsi="Times New Roman" w:cs="Times New Roman"/>
          <w:color w:val="auto"/>
        </w:rPr>
        <w:t>二氯甲烷，盖上瓶塞，充分溶解提取物。经</w:t>
      </w:r>
      <w:r>
        <w:rPr>
          <w:rFonts w:ascii="Times New Roman" w:hAnsi="Times New Roman" w:cs="Times New Roman"/>
          <w:color w:val="auto"/>
        </w:rPr>
        <w:t>0.45 μm</w:t>
      </w:r>
      <w:r>
        <w:rPr>
          <w:rFonts w:hint="eastAsia" w:ascii="Times New Roman" w:hAnsi="Times New Roman" w:cs="Times New Roman"/>
          <w:color w:val="auto"/>
        </w:rPr>
        <w:t>膜过滤后，弃出初始约</w:t>
      </w:r>
      <w:r>
        <w:rPr>
          <w:rFonts w:ascii="Times New Roman" w:hAnsi="Times New Roman" w:cs="Times New Roman"/>
          <w:color w:val="auto"/>
        </w:rPr>
        <w:t>1mL</w:t>
      </w:r>
      <w:r>
        <w:rPr>
          <w:rFonts w:hint="eastAsia" w:ascii="Times New Roman" w:hAnsi="Times New Roman" w:cs="Times New Roman"/>
          <w:color w:val="auto"/>
        </w:rPr>
        <w:t>滤液后收集至进样瓶中，备用。</w:t>
      </w:r>
    </w:p>
    <w:p>
      <w:pPr>
        <w:autoSpaceDE w:val="0"/>
        <w:autoSpaceDN w:val="0"/>
        <w:adjustRightInd w:val="0"/>
        <w:snapToGrid w:val="0"/>
        <w:spacing w:line="360" w:lineRule="auto"/>
        <w:ind w:right="-2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1.5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色谱条件</w:t>
      </w:r>
    </w:p>
    <w:p>
      <w:pPr>
        <w:snapToGrid w:val="0"/>
        <w:spacing w:line="360" w:lineRule="auto"/>
        <w:ind w:firstLine="850" w:firstLineChars="40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</w:t>
      </w:r>
      <w:r>
        <w:rPr>
          <w:rFonts w:hint="eastAsia" w:ascii="Times New Roman" w:hAnsi="Times New Roman" w:cs="Times New Roman"/>
          <w:color w:val="auto"/>
        </w:rPr>
        <w:t>色谱柱：</w:t>
      </w:r>
      <w:r>
        <w:rPr>
          <w:rFonts w:ascii="Times New Roman" w:hAnsi="Times New Roman" w:cs="Times New Roman"/>
          <w:color w:val="auto"/>
        </w:rPr>
        <w:t>C30</w:t>
      </w:r>
      <w:r>
        <w:rPr>
          <w:rFonts w:hint="eastAsia" w:ascii="Times New Roman" w:hAnsi="Times New Roman" w:cs="Times New Roman"/>
          <w:color w:val="auto"/>
        </w:rPr>
        <w:t>柱，柱长</w:t>
      </w:r>
      <w:r>
        <w:rPr>
          <w:rFonts w:ascii="Times New Roman" w:hAnsi="Times New Roman" w:cs="Times New Roman"/>
          <w:color w:val="auto"/>
        </w:rPr>
        <w:t>150mm</w:t>
      </w:r>
      <w:r>
        <w:rPr>
          <w:rFonts w:hint="eastAsia" w:ascii="Times New Roman" w:hAnsi="Times New Roman" w:cs="Times New Roman"/>
          <w:color w:val="auto"/>
        </w:rPr>
        <w:t>，内径</w:t>
      </w:r>
      <w:r>
        <w:rPr>
          <w:rFonts w:ascii="Times New Roman" w:hAnsi="Times New Roman" w:cs="Times New Roman"/>
          <w:color w:val="auto"/>
        </w:rPr>
        <w:t>4.6mm</w:t>
      </w:r>
      <w:r>
        <w:rPr>
          <w:rFonts w:hint="eastAsia" w:ascii="Times New Roman" w:hAnsi="Times New Roman" w:cs="Times New Roman"/>
          <w:color w:val="auto"/>
        </w:rPr>
        <w:t>，粒径</w:t>
      </w:r>
      <w:r>
        <w:rPr>
          <w:rFonts w:ascii="Times New Roman" w:hAnsi="Times New Roman" w:cs="Times New Roman"/>
          <w:color w:val="auto"/>
        </w:rPr>
        <w:t>5μm</w:t>
      </w:r>
      <w:r>
        <w:rPr>
          <w:rFonts w:hint="eastAsia" w:ascii="Times New Roman" w:hAnsi="Times New Roman" w:cs="Times New Roman"/>
          <w:color w:val="auto"/>
        </w:rPr>
        <w:t>，或等效柱；</w:t>
      </w:r>
    </w:p>
    <w:p>
      <w:pPr>
        <w:snapToGrid w:val="0"/>
        <w:spacing w:line="360" w:lineRule="auto"/>
        <w:ind w:firstLine="850" w:firstLineChars="40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</w:t>
      </w:r>
      <w:r>
        <w:rPr>
          <w:rFonts w:hint="eastAsia" w:ascii="Times New Roman" w:hAnsi="Times New Roman" w:cs="Times New Roman"/>
          <w:color w:val="auto"/>
        </w:rPr>
        <w:t>流动相：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hint="eastAsia" w:ascii="Times New Roman" w:hAnsi="Times New Roman" w:cs="Times New Roman"/>
          <w:color w:val="auto"/>
        </w:rPr>
        <w:t>相：甲醇</w:t>
      </w:r>
      <w:r>
        <w:rPr>
          <w:rFonts w:ascii="Times New Roman" w:hAnsi="Times New Roman" w:cs="Times New Roman"/>
          <w:color w:val="auto"/>
        </w:rPr>
        <w:t>:</w:t>
      </w:r>
      <w:r>
        <w:rPr>
          <w:rFonts w:hint="eastAsia" w:ascii="Times New Roman" w:hAnsi="Times New Roman" w:cs="Times New Roman"/>
          <w:color w:val="auto"/>
        </w:rPr>
        <w:t>乙腈</w:t>
      </w:r>
      <w:r>
        <w:rPr>
          <w:rFonts w:ascii="Times New Roman" w:hAnsi="Times New Roman" w:cs="Times New Roman"/>
          <w:color w:val="auto"/>
        </w:rPr>
        <w:t>:</w:t>
      </w:r>
      <w:r>
        <w:rPr>
          <w:rFonts w:hint="eastAsia" w:ascii="Times New Roman" w:hAnsi="Times New Roman" w:cs="Times New Roman"/>
          <w:color w:val="auto"/>
        </w:rPr>
        <w:t>水</w:t>
      </w:r>
      <w:r>
        <w:rPr>
          <w:rFonts w:ascii="Times New Roman" w:hAnsi="Times New Roman" w:cs="Times New Roman"/>
          <w:color w:val="auto"/>
        </w:rPr>
        <w:t>=73.5:24.5:2</w:t>
      </w:r>
      <w:r>
        <w:rPr>
          <w:rFonts w:hint="eastAsia" w:ascii="Times New Roman" w:hAnsi="Times New Roman" w:cs="Times New Roman"/>
          <w:color w:val="auto"/>
        </w:rPr>
        <w:t>；</w:t>
      </w:r>
    </w:p>
    <w:p>
      <w:pPr>
        <w:snapToGrid w:val="0"/>
        <w:spacing w:line="360" w:lineRule="auto"/>
        <w:ind w:firstLine="1984" w:firstLineChars="945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</w:rPr>
        <w:t>相：甲基叔丁基醚；</w:t>
      </w:r>
    </w:p>
    <w:p>
      <w:pPr>
        <w:snapToGrid w:val="0"/>
        <w:spacing w:after="156" w:afterLines="5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表5 梯度程序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260"/>
        <w:gridCol w:w="1260"/>
        <w:gridCol w:w="1245"/>
        <w:gridCol w:w="1260"/>
        <w:gridCol w:w="74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时间/min 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15 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18 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19 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20 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A% 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100 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59 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20 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20 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4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B%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41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100 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>
      <w:pPr>
        <w:spacing w:line="360" w:lineRule="auto"/>
        <w:ind w:firstLine="850" w:firstLineChars="40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c) 流速：1.0mL/min；</w:t>
      </w:r>
    </w:p>
    <w:p>
      <w:pPr>
        <w:spacing w:line="360" w:lineRule="auto"/>
        <w:ind w:firstLine="850" w:firstLineChars="40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d) 检测波长：450nm；</w:t>
      </w:r>
    </w:p>
    <w:p>
      <w:pPr>
        <w:spacing w:line="360" w:lineRule="auto"/>
        <w:ind w:firstLine="850" w:firstLineChars="40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e) 柱温：30 </w:t>
      </w:r>
      <w:r>
        <w:rPr>
          <w:rFonts w:hint="eastAsia" w:ascii="Times New Roman" w:hAnsi="Times New Roman" w:cs="Times New Roman"/>
          <w:color w:val="auto"/>
        </w:rPr>
        <w:t>℃</w:t>
      </w:r>
      <w:r>
        <w:rPr>
          <w:rFonts w:ascii="Times New Roman" w:hAnsi="Times New Roman" w:cs="Times New Roman"/>
          <w:color w:val="auto"/>
        </w:rPr>
        <w:t xml:space="preserve">±1 </w:t>
      </w:r>
      <w:r>
        <w:rPr>
          <w:rFonts w:hint="eastAsia" w:ascii="Times New Roman" w:hAnsi="Times New Roman" w:cs="Times New Roman"/>
          <w:color w:val="auto"/>
        </w:rPr>
        <w:t>℃</w:t>
      </w:r>
      <w:r>
        <w:rPr>
          <w:rFonts w:ascii="Times New Roman" w:hAnsi="Times New Roman" w:cs="Times New Roman"/>
          <w:color w:val="auto"/>
        </w:rPr>
        <w:t>；</w:t>
      </w:r>
    </w:p>
    <w:p>
      <w:pPr>
        <w:spacing w:line="360" w:lineRule="auto"/>
        <w:ind w:firstLine="850" w:firstLineChars="40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f) 进样体积：20μL。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1.6</w:t>
      </w:r>
      <w:r>
        <w:rPr>
          <w:rFonts w:ascii="Times New Roman" w:hAnsi="Times New Roman" w:cs="Times New Roman"/>
          <w:color w:val="auto"/>
        </w:rPr>
        <w:t xml:space="preserve"> 测定</w:t>
      </w:r>
    </w:p>
    <w:p>
      <w:pPr>
        <w:autoSpaceDE w:val="0"/>
        <w:autoSpaceDN w:val="0"/>
        <w:adjustRightInd w:val="0"/>
        <w:spacing w:line="360" w:lineRule="auto"/>
        <w:ind w:firstLine="422" w:firstLineChars="201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在相同色谱条件下,将待测液注入液相色谱仪中,以保留时间定性,根据峰面积采用外标法定量,β-胡萝卜素根据全反式β-胡萝卜素响应因子进行计算。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1.7</w:t>
      </w:r>
      <w:r>
        <w:rPr>
          <w:rFonts w:ascii="Times New Roman" w:hAnsi="Times New Roman" w:cs="Times New Roman"/>
          <w:color w:val="auto"/>
        </w:rPr>
        <w:t xml:space="preserve"> 全反式</w:t>
      </w:r>
      <w:r>
        <w:rPr>
          <w:rFonts w:hint="eastAsia" w:ascii="Times New Roman" w:hAnsi="Times New Roman" w:cs="Times New Roman"/>
          <w:color w:val="auto"/>
        </w:rPr>
        <w:t>β-胡萝</w:t>
      </w:r>
      <w:r>
        <w:rPr>
          <w:rFonts w:ascii="Times New Roman" w:hAnsi="Times New Roman" w:cs="Times New Roman"/>
          <w:color w:val="auto"/>
        </w:rPr>
        <w:t>卜素色谱纯度的计算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1.7.1 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异构体保留时间的确认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分别取β-胡萝卜素标准中间液(100 μg/mL)和异构化β-胡萝卜素溶液,按照色谱条件注入HPLC仪进行色谱分析。根据β-胡萝卜素标准中间液的色谱图确认全反式β-胡萝卜素的保留时间；对比β-胡萝卜素标准中间液和异构化β-胡萝卜素溶液色谱图中各峰面积变化，以及与全反式β-胡萝卜素的位置关系确认顺式β-胡萝卜素异构体的保留时间：全反式β-胡萝卜素前较大的色谱峰为13-顺式-β-胡萝卜素，紧邻全反式β-胡萝卜素后较大的色谱峰为9-顺式-β-胡萝卜素，13-顺式-β-胡萝卜素前是15-顺式-β-胡萝卜素，另外可能还有其他较小的顺式结构色谱峰，色谱图见图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1.7.2 全反式</w:t>
      </w:r>
      <w:r>
        <w:rPr>
          <w:rFonts w:hint="eastAsia"/>
          <w:color w:val="auto"/>
        </w:rPr>
        <w:t>β反胡</w:t>
      </w:r>
      <w:r>
        <w:rPr>
          <w:rFonts w:ascii="Times New Roman" w:hAnsi="Times New Roman" w:cs="Times New Roman"/>
          <w:color w:val="auto"/>
        </w:rPr>
        <w:t>萝卜素标准液色谱纯度的计算</w:t>
      </w:r>
    </w:p>
    <w:p>
      <w:pPr>
        <w:autoSpaceDE w:val="0"/>
        <w:autoSpaceDN w:val="0"/>
        <w:adjustRightInd w:val="0"/>
        <w:spacing w:line="360" w:lineRule="auto"/>
        <w:ind w:firstLine="422" w:firstLineChars="20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取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标准工作液(3 μ</w:t>
      </w:r>
      <w:r>
        <w:rPr>
          <w:rFonts w:hint="eastAsia" w:ascii="Times New Roman" w:hAnsi="Times New Roman" w:cs="Times New Roman"/>
          <w:color w:val="auto"/>
        </w:rPr>
        <w:t>g</w:t>
      </w:r>
      <w:r>
        <w:rPr>
          <w:rFonts w:ascii="Times New Roman" w:hAnsi="Times New Roman" w:cs="Times New Roman"/>
          <w:color w:val="auto"/>
        </w:rPr>
        <w:t>/mL)</w:t>
      </w:r>
      <w:r>
        <w:rPr>
          <w:rFonts w:hint="eastAsia"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>按照色谱条件进行HPLC分析,重复进样6次。计算全反式β-胡萝卜素色谱峰的峰面积、全反式与上述各顺式结构的峰面积总和</w:t>
      </w:r>
      <w:r>
        <w:rPr>
          <w:rFonts w:hint="eastAsia"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>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色谱纯度（</w:t>
      </w:r>
      <w:r>
        <w:rPr>
          <w:rFonts w:ascii="Times New Roman" w:hAnsi="Times New Roman" w:cs="Times New Roman"/>
          <w:i/>
          <w:color w:val="auto"/>
        </w:rPr>
        <w:t>CP</w:t>
      </w:r>
      <w:r>
        <w:rPr>
          <w:rFonts w:ascii="Times New Roman" w:hAnsi="Times New Roman" w:cs="Times New Roman"/>
          <w:color w:val="auto"/>
        </w:rPr>
        <w:t>）按公式计算。</w:t>
      </w:r>
    </w:p>
    <w:p>
      <w:pPr>
        <w:autoSpaceDE w:val="0"/>
        <w:autoSpaceDN w:val="0"/>
        <w:adjustRightInd w:val="0"/>
        <w:spacing w:line="360" w:lineRule="auto"/>
        <w:ind w:firstLine="422" w:firstLineChars="201"/>
        <w:rPr>
          <w:rFonts w:ascii="Times New Roman" w:hAnsi="Times New Roman" w:cs="Times New Roman"/>
          <w:color w:val="auto"/>
        </w:rPr>
      </w:pPr>
      <m:oMathPara>
        <m:oMath>
          <m:r>
            <w:rPr>
              <w:rFonts w:ascii="Cambria Math" w:hAnsi="Cambria Math" w:cs="Times New Roman"/>
              <w:color w:val="auto"/>
            </w:rPr>
            <m:t>CP</m:t>
          </m:r>
          <m:r>
            <m:rPr>
              <m:sty m:val="p"/>
            </m:rPr>
            <w:rPr>
              <w:rFonts w:ascii="Cambria Math" w:hAnsi="Cambria Math" w:cs="Times New Roman"/>
              <w:color w:val="auto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auto"/>
                        </w:rPr>
                        <m:t>A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</w:rPr>
                      </m:ctrlPr>
                    </m:e>
                  </m:acc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</w:rPr>
                    <m:t>all</m:t>
                  </m:r>
                  <m:r>
                    <w:rPr>
                      <w:rFonts w:ascii="Cambria Math" w:hAnsi="Cambria Math" w:cs="Times New Roman"/>
                      <w:color w:val="auto"/>
                    </w:rPr>
                    <m:t>-E</m:t>
                  </m: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color w:val="auto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auto"/>
                        </w:rPr>
                        <m:t>A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</w:rPr>
                      </m:ctrlPr>
                    </m:e>
                  </m:acc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</w:rPr>
                    <m:t>sum</m:t>
                  </m: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color w:val="auto"/>
                </w:rPr>
              </m:ctrlPr>
            </m:den>
          </m:f>
          <m:r>
            <w:rPr>
              <w:rFonts w:ascii="Cambria Math" w:hAnsi="Cambria Math" w:cs="Times New Roman"/>
              <w:color w:val="auto"/>
            </w:rPr>
            <m:t>×100</m:t>
          </m:r>
          <m:r>
            <m:rPr>
              <m:sty m:val="p"/>
            </m:rPr>
            <w:rPr>
              <w:rFonts w:ascii="Cambria Math" w:hAnsi="Cambria Math" w:cs="Times New Roman"/>
              <w:color w:val="auto"/>
            </w:rPr>
            <m:t>％</m:t>
          </m:r>
        </m:oMath>
      </m:oMathPara>
    </w:p>
    <w:p>
      <w:pPr>
        <w:autoSpaceDE w:val="0"/>
        <w:autoSpaceDN w:val="0"/>
        <w:adjustRightInd w:val="0"/>
        <w:spacing w:line="360" w:lineRule="auto"/>
        <w:ind w:firstLine="422" w:firstLineChars="20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CP</w:t>
      </w:r>
      <w:r>
        <w:rPr>
          <w:rFonts w:ascii="Times New Roman" w:hAnsi="Times New Roman" w:cs="Times New Roman"/>
          <w:color w:val="auto"/>
        </w:rPr>
        <w:t>———全反式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色谱纯度，%；</w:t>
      </w:r>
    </w:p>
    <w:p>
      <w:pPr>
        <w:autoSpaceDE w:val="0"/>
        <w:autoSpaceDN w:val="0"/>
        <w:adjustRightInd w:val="0"/>
        <w:spacing w:line="360" w:lineRule="auto"/>
        <w:ind w:firstLine="422" w:firstLineChars="20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Ᾱ</w:t>
      </w:r>
      <w:r>
        <w:rPr>
          <w:rFonts w:ascii="Times New Roman" w:hAnsi="Times New Roman" w:cs="Times New Roman"/>
          <w:color w:val="auto"/>
          <w:vertAlign w:val="subscript"/>
        </w:rPr>
        <w:t>all-</w:t>
      </w:r>
      <w:r>
        <w:rPr>
          <w:rFonts w:ascii="Times New Roman" w:hAnsi="Times New Roman" w:cs="Times New Roman"/>
          <w:i/>
          <w:color w:val="auto"/>
          <w:vertAlign w:val="subscript"/>
        </w:rPr>
        <w:t>E</w:t>
      </w:r>
      <w:r>
        <w:rPr>
          <w:rFonts w:ascii="Times New Roman" w:hAnsi="Times New Roman" w:cs="Times New Roman"/>
          <w:color w:val="auto"/>
        </w:rPr>
        <w:t>———全反式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色谱峰峰面积平均值，单位为峰面积(AU)；</w:t>
      </w:r>
    </w:p>
    <w:p>
      <w:pPr>
        <w:autoSpaceDE w:val="0"/>
        <w:autoSpaceDN w:val="0"/>
        <w:adjustRightInd w:val="0"/>
        <w:spacing w:line="360" w:lineRule="auto"/>
        <w:ind w:firstLine="422" w:firstLineChars="20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Ᾱ</w:t>
      </w:r>
      <w:r>
        <w:rPr>
          <w:rFonts w:ascii="Times New Roman" w:hAnsi="Times New Roman" w:cs="Times New Roman"/>
          <w:color w:val="auto"/>
          <w:vertAlign w:val="subscript"/>
        </w:rPr>
        <w:t>sum</w:t>
      </w:r>
      <w:r>
        <w:rPr>
          <w:rFonts w:ascii="Times New Roman" w:hAnsi="Times New Roman" w:cs="Times New Roman"/>
          <w:color w:val="auto"/>
        </w:rPr>
        <w:t>———全反式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及各顺式结构峰面积总和平均值,单位为峰面积(AU)。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8 结果计算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计算全反式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响应因子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将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混合标准工作液注入HPLC仪中(色谱图见图1),根据保留时间定性,测定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各异构体峰面积。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根据标准工作液标定浓度、全反</w:t>
      </w:r>
      <w:r>
        <w:rPr>
          <w:rFonts w:hint="eastAsia"/>
          <w:color w:val="auto"/>
        </w:rPr>
        <w:t>式β-胡萝卜</w:t>
      </w:r>
      <w:r>
        <w:rPr>
          <w:rFonts w:ascii="Times New Roman" w:hAnsi="Times New Roman" w:cs="Times New Roman"/>
          <w:color w:val="auto"/>
        </w:rPr>
        <w:t>素6次测定峰面积平均值、全反式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色谱纯度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hint="eastAsia" w:ascii="Times New Roman" w:hAnsi="Times New Roman" w:cs="Times New Roman"/>
          <w:i/>
          <w:iCs/>
          <w:color w:val="auto"/>
        </w:rPr>
        <w:t>CP</w:t>
      </w:r>
      <w:r>
        <w:rPr>
          <w:rFonts w:hint="eastAsia" w:ascii="Times New Roman" w:hAnsi="Times New Roman" w:cs="Times New Roman"/>
          <w:color w:val="auto"/>
        </w:rPr>
        <w:t>）</w:t>
      </w:r>
      <w:r>
        <w:rPr>
          <w:rFonts w:ascii="Times New Roman" w:hAnsi="Times New Roman" w:cs="Times New Roman"/>
          <w:color w:val="auto"/>
        </w:rPr>
        <w:t>,按公式计算全反式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响应因子。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1130935" cy="417830"/>
            <wp:effectExtent l="0" t="0" r="1206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式中: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RF</w:t>
      </w:r>
      <w:r>
        <w:rPr>
          <w:rFonts w:ascii="Times New Roman" w:hAnsi="Times New Roman" w:cs="Times New Roman"/>
          <w:color w:val="auto"/>
        </w:rPr>
        <w:t xml:space="preserve"> ———全反式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响应因子,单位为峰面积毫升每微克(AU·mL/μg)</w:t>
      </w:r>
      <w:r>
        <w:rPr>
          <w:rFonts w:hint="eastAsia" w:ascii="Times New Roman" w:hAnsi="Times New Roman" w:cs="Times New Roman"/>
          <w:color w:val="auto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Ᾱ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all-E</w:t>
      </w:r>
      <w:r>
        <w:rPr>
          <w:rFonts w:ascii="Times New Roman" w:hAnsi="Times New Roman" w:cs="Times New Roman"/>
          <w:color w:val="auto"/>
        </w:rPr>
        <w:t xml:space="preserve"> ———全反式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标准工作液色谱峰峰面积平均值，单位为峰面积(AU)</w:t>
      </w:r>
      <w:r>
        <w:rPr>
          <w:rFonts w:hint="eastAsia" w:ascii="Times New Roman" w:hAnsi="Times New Roman" w:cs="Times New Roman"/>
          <w:color w:val="auto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ρ</w:t>
      </w:r>
      <w:r>
        <w:rPr>
          <w:rFonts w:ascii="Times New Roman" w:hAnsi="Times New Roman" w:cs="Times New Roman"/>
          <w:color w:val="auto"/>
        </w:rPr>
        <w:t xml:space="preserve"> ———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标准工作液标定浓度,单位为微克每毫升(μg/mL)</w:t>
      </w:r>
      <w:r>
        <w:rPr>
          <w:rFonts w:hint="eastAsia" w:ascii="Times New Roman" w:hAnsi="Times New Roman" w:cs="Times New Roman"/>
          <w:color w:val="auto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CP</w:t>
      </w:r>
      <w:r>
        <w:rPr>
          <w:rFonts w:ascii="Times New Roman" w:hAnsi="Times New Roman" w:cs="Times New Roman"/>
          <w:color w:val="auto"/>
        </w:rPr>
        <w:t xml:space="preserve"> ———全反式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的色谱纯度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%。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试样中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含量按下公式计算: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3700145" cy="39624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式中: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X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β</w:t>
      </w:r>
      <w:r>
        <w:rPr>
          <w:rFonts w:ascii="Times New Roman" w:hAnsi="Times New Roman" w:cs="Times New Roman"/>
          <w:color w:val="auto"/>
        </w:rPr>
        <w:t xml:space="preserve"> ———试样中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的含量,单位为微克每百克(μg/100g);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all-E</w:t>
      </w:r>
      <w:r>
        <w:rPr>
          <w:rFonts w:ascii="Times New Roman" w:hAnsi="Times New Roman" w:cs="Times New Roman"/>
          <w:color w:val="auto"/>
        </w:rPr>
        <w:t xml:space="preserve"> ———试样待测液中全反式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峰面积,单位为峰面积(AU);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9Z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———试样待测液中9-顺式-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的峰面积,单位为峰面积(AU);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13Z</w:t>
      </w:r>
      <w:r>
        <w:rPr>
          <w:rFonts w:ascii="Times New Roman" w:hAnsi="Times New Roman" w:cs="Times New Roman"/>
          <w:color w:val="auto"/>
        </w:rPr>
        <w:t xml:space="preserve"> ———试样待测液中13-顺式-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的峰面积,单位为峰面积(AU);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 ———13-顺式-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的相对校正因子;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15Z</w:t>
      </w:r>
      <w:r>
        <w:rPr>
          <w:rFonts w:ascii="Times New Roman" w:hAnsi="Times New Roman" w:cs="Times New Roman"/>
          <w:color w:val="auto"/>
        </w:rPr>
        <w:t xml:space="preserve"> ———试样待测液中15-顺式-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的峰面积,单位为峰面积(AU);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 ———15-顺式-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的相对校正因子;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xZ</w:t>
      </w:r>
      <w:r>
        <w:rPr>
          <w:rFonts w:ascii="Times New Roman" w:hAnsi="Times New Roman" w:cs="Times New Roman"/>
          <w:color w:val="auto"/>
        </w:rPr>
        <w:t xml:space="preserve"> ———试样待测液中其他顺式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的峰面积,单位为峰面积(AU);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V</w:t>
      </w:r>
      <w:r>
        <w:rPr>
          <w:rFonts w:ascii="Times New Roman" w:hAnsi="Times New Roman" w:cs="Times New Roman"/>
          <w:color w:val="auto"/>
        </w:rPr>
        <w:t xml:space="preserve"> ———试样液定容体积,单位为毫升(mL);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100 ———将结果表示为微克每百克(μg/100g)的系数;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RF</w:t>
      </w:r>
      <w:r>
        <w:rPr>
          <w:rFonts w:ascii="Times New Roman" w:hAnsi="Times New Roman" w:cs="Times New Roman"/>
          <w:color w:val="auto"/>
        </w:rPr>
        <w:t xml:space="preserve"> ———全反式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响应因子,单位为峰面积毫升每微克(AU·mL/μg);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m</w:t>
      </w:r>
      <w:r>
        <w:rPr>
          <w:rFonts w:ascii="Times New Roman" w:hAnsi="Times New Roman" w:cs="Times New Roman"/>
          <w:color w:val="auto"/>
        </w:rPr>
        <w:t xml:space="preserve"> ———试样质量,单位为克(g)。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注1:由于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各异构体百分吸光系数不同(见附录D),所以在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计算过程中,需采用相对校正因子对结果进行校正。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注2:如果试样中其他顺式</w:t>
      </w:r>
      <w:r>
        <w:rPr>
          <w:rFonts w:hint="eastAsia"/>
          <w:color w:val="auto"/>
        </w:rPr>
        <w:t>β-胡萝卜素</w:t>
      </w:r>
      <w:r>
        <w:rPr>
          <w:rFonts w:ascii="Times New Roman" w:hAnsi="Times New Roman" w:cs="Times New Roman"/>
          <w:color w:val="auto"/>
        </w:rPr>
        <w:t>含量较低,可不进行计算。</w:t>
      </w:r>
    </w:p>
    <w:p>
      <w:pPr>
        <w:autoSpaceDE w:val="0"/>
        <w:autoSpaceDN w:val="0"/>
        <w:adjustRightInd w:val="0"/>
        <w:ind w:right="-2"/>
        <w:rPr>
          <w:rFonts w:eastAsia="仿宋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9 色谱图</w:t>
      </w:r>
    </w:p>
    <w:p>
      <w:pPr>
        <w:autoSpaceDE w:val="0"/>
        <w:autoSpaceDN w:val="0"/>
        <w:adjustRightInd w:val="0"/>
        <w:ind w:right="-2"/>
        <w:jc w:val="center"/>
        <w:rPr>
          <w:rFonts w:eastAsia="仿宋"/>
          <w:color w:val="auto"/>
          <w:sz w:val="24"/>
        </w:rPr>
      </w:pPr>
      <w:r>
        <w:rPr>
          <w:color w:val="auto"/>
        </w:rPr>
        <w:drawing>
          <wp:inline distT="0" distB="0" distL="0" distR="0">
            <wp:extent cx="5692775" cy="274320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right="-2"/>
        <w:jc w:val="center"/>
        <w:rPr>
          <w:rFonts w:eastAsia="仿宋"/>
          <w:color w:val="auto"/>
          <w:sz w:val="24"/>
        </w:rPr>
      </w:pPr>
      <w:r>
        <w:rPr>
          <w:rFonts w:eastAsia="仿宋"/>
          <w:color w:val="auto"/>
          <w:sz w:val="24"/>
        </w:rPr>
        <w:t xml:space="preserve">图1 </w:t>
      </w:r>
      <w:r>
        <w:rPr>
          <w:rFonts w:hint="eastAsia" w:eastAsia="仿宋"/>
          <w:color w:val="auto"/>
          <w:sz w:val="24"/>
        </w:rPr>
        <w:t>β-胡萝卜素</w:t>
      </w:r>
      <w:r>
        <w:rPr>
          <w:rFonts w:eastAsia="仿宋"/>
          <w:color w:val="auto"/>
          <w:sz w:val="24"/>
        </w:rPr>
        <w:t>检测色谱图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说明：</w:t>
      </w:r>
    </w:p>
    <w:p>
      <w:pPr>
        <w:spacing w:line="360" w:lineRule="auto"/>
        <w:ind w:firstLine="420" w:firstLineChars="200"/>
        <w:rPr>
          <w:rFonts w:asciiTheme="minorEastAsia" w:hAnsiTheme="minorEastAsia"/>
          <w:color w:val="auto"/>
        </w:rPr>
      </w:pPr>
      <w:r>
        <w:rPr>
          <w:rFonts w:hint="eastAsia" w:cs="宋体" w:asciiTheme="minorEastAsia" w:hAnsiTheme="minorEastAsia"/>
          <w:color w:val="auto"/>
        </w:rPr>
        <w:t>Ⅰ</w:t>
      </w:r>
      <w:r>
        <w:rPr>
          <w:rFonts w:hint="eastAsia" w:cs="Calibri" w:asciiTheme="minorEastAsia" w:hAnsiTheme="minorEastAsia"/>
          <w:color w:val="auto"/>
        </w:rPr>
        <w:t>——</w:t>
      </w:r>
      <w:r>
        <w:rPr>
          <w:rFonts w:asciiTheme="minorEastAsia" w:hAnsiTheme="minorEastAsia"/>
          <w:color w:val="auto"/>
        </w:rPr>
        <w:t>15-顺式-β-胡萝卜素</w:t>
      </w:r>
      <w:r>
        <w:rPr>
          <w:rFonts w:hint="eastAsia" w:asciiTheme="minorEastAsia" w:hAnsiTheme="minorEastAsia"/>
          <w:color w:val="auto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/>
          <w:color w:val="auto"/>
        </w:rPr>
      </w:pPr>
      <w:r>
        <w:rPr>
          <w:rFonts w:hint="eastAsia" w:cs="宋体" w:asciiTheme="minorEastAsia" w:hAnsiTheme="minorEastAsia"/>
          <w:color w:val="auto"/>
        </w:rPr>
        <w:t>Ⅱ</w:t>
      </w:r>
      <w:r>
        <w:rPr>
          <w:rFonts w:hint="eastAsia" w:cs="Calibri" w:asciiTheme="minorEastAsia" w:hAnsiTheme="minorEastAsia"/>
          <w:color w:val="auto"/>
        </w:rPr>
        <w:t>——</w:t>
      </w:r>
      <w:r>
        <w:rPr>
          <w:rFonts w:asciiTheme="minorEastAsia" w:hAnsiTheme="minorEastAsia"/>
          <w:color w:val="auto"/>
        </w:rPr>
        <w:t>13-顺式-β-胡萝卜素</w:t>
      </w:r>
      <w:r>
        <w:rPr>
          <w:rFonts w:hint="eastAsia" w:asciiTheme="minorEastAsia" w:hAnsiTheme="minorEastAsia"/>
          <w:color w:val="auto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/>
          <w:color w:val="auto"/>
        </w:rPr>
      </w:pPr>
      <w:r>
        <w:rPr>
          <w:rFonts w:hint="eastAsia" w:cs="宋体" w:asciiTheme="minorEastAsia" w:hAnsiTheme="minorEastAsia"/>
          <w:color w:val="auto"/>
        </w:rPr>
        <w:t>Ⅲ</w:t>
      </w:r>
      <w:r>
        <w:rPr>
          <w:rFonts w:hint="eastAsia" w:cs="Calibri" w:asciiTheme="minorEastAsia" w:hAnsiTheme="minorEastAsia"/>
          <w:color w:val="auto"/>
        </w:rPr>
        <w:t>——</w:t>
      </w:r>
      <w:r>
        <w:rPr>
          <w:rFonts w:asciiTheme="minorEastAsia" w:hAnsiTheme="minorEastAsia"/>
          <w:color w:val="auto"/>
        </w:rPr>
        <w:t>全反式α-胡萝卜素</w:t>
      </w:r>
      <w:r>
        <w:rPr>
          <w:rFonts w:hint="eastAsia" w:asciiTheme="minorEastAsia" w:hAnsiTheme="minorEastAsia"/>
          <w:color w:val="auto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/>
          <w:color w:val="auto"/>
        </w:rPr>
      </w:pPr>
      <w:r>
        <w:rPr>
          <w:rFonts w:hint="eastAsia" w:cs="宋体" w:asciiTheme="minorEastAsia" w:hAnsiTheme="minorEastAsia"/>
          <w:color w:val="auto"/>
        </w:rPr>
        <w:t>Ⅳ</w:t>
      </w:r>
      <w:r>
        <w:rPr>
          <w:rFonts w:hint="eastAsia" w:cs="Calibri" w:asciiTheme="minorEastAsia" w:hAnsiTheme="minorEastAsia"/>
          <w:color w:val="auto"/>
        </w:rPr>
        <w:t>——</w:t>
      </w:r>
      <w:r>
        <w:rPr>
          <w:rFonts w:asciiTheme="minorEastAsia" w:hAnsiTheme="minorEastAsia"/>
          <w:color w:val="auto"/>
        </w:rPr>
        <w:t>全反式β-胡萝卜素</w:t>
      </w:r>
      <w:r>
        <w:rPr>
          <w:rFonts w:hint="eastAsia" w:asciiTheme="minorEastAsia" w:hAnsiTheme="minorEastAsia"/>
          <w:color w:val="auto"/>
        </w:rPr>
        <w:t>；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color w:val="auto"/>
        </w:rPr>
      </w:pPr>
      <w:r>
        <w:rPr>
          <w:rFonts w:hint="eastAsia" w:cs="宋体" w:asciiTheme="minorEastAsia" w:hAnsiTheme="minorEastAsia"/>
          <w:color w:val="auto"/>
        </w:rPr>
        <w:t>Ⅴ</w:t>
      </w:r>
      <w:r>
        <w:rPr>
          <w:rFonts w:hint="eastAsia" w:cs="Calibri" w:asciiTheme="minorEastAsia" w:hAnsiTheme="minorEastAsia"/>
          <w:color w:val="auto"/>
        </w:rPr>
        <w:t>——</w:t>
      </w:r>
      <w:r>
        <w:rPr>
          <w:rFonts w:asciiTheme="minorEastAsia" w:hAnsiTheme="minorEastAsia"/>
          <w:color w:val="auto"/>
        </w:rPr>
        <w:t>9-顺式-β-胡萝卜素</w:t>
      </w:r>
      <w:r>
        <w:rPr>
          <w:rFonts w:hint="eastAsia" w:asciiTheme="minorEastAsia" w:hAnsiTheme="minorEastAsia"/>
          <w:color w:val="auto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left="408" w:leftChars="1" w:hanging="406" w:hangingChars="20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-4"/>
        </w:rPr>
        <w:t xml:space="preserve">2 </w:t>
      </w:r>
      <w:r>
        <w:rPr>
          <w:rFonts w:hint="eastAsia"/>
          <w:color w:val="auto"/>
        </w:rPr>
        <w:t>藻蓝蛋白的</w:t>
      </w:r>
      <w:r>
        <w:rPr>
          <w:color w:val="auto"/>
        </w:rPr>
        <w:t>测定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2.1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试剂</w:t>
      </w:r>
    </w:p>
    <w:p>
      <w:pPr>
        <w:autoSpaceDE w:val="0"/>
        <w:autoSpaceDN w:val="0"/>
        <w:adjustRightInd w:val="0"/>
        <w:snapToGrid w:val="0"/>
        <w:spacing w:line="360" w:lineRule="auto"/>
        <w:ind w:right="-2" w:firstLine="404" w:firstLineChars="200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磷酸盐缓冲溶液:将0.1 mol/L磷酸二氢钾溶液与0.1 mol/L磷酸氢二钾溶液(45+55V/V) 混合，溶液pH值为7.0。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2.2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仪器</w:t>
      </w: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和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设备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 xml:space="preserve">2.2.1 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分光光度计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 xml:space="preserve">2.2.2 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超声波振荡器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 xml:space="preserve">2.2.3 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离心机（3000 r/min）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 xml:space="preserve">2.2.4 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 xml:space="preserve">低温冰箱（-20 </w:t>
      </w: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℃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）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 xml:space="preserve">2.2.5 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离心管（50 mL）。</w:t>
      </w:r>
    </w:p>
    <w:p>
      <w:pPr>
        <w:autoSpaceDE w:val="0"/>
        <w:autoSpaceDN w:val="0"/>
        <w:adjustRightInd w:val="0"/>
        <w:snapToGrid w:val="0"/>
        <w:spacing w:line="360" w:lineRule="auto"/>
        <w:ind w:right="-2"/>
        <w:rPr>
          <w:rFonts w:ascii="Times New Roman" w:hAnsi="Times New Roman" w:cs="Times New Roman"/>
          <w:color w:val="auto"/>
          <w:spacing w:val="-4"/>
        </w:rPr>
      </w:pPr>
      <w:r>
        <w:rPr>
          <w:rFonts w:hint="eastAsia" w:ascii="Times New Roman" w:hAnsi="Times New Roman" w:eastAsia="仿宋" w:cs="Times New Roman"/>
          <w:color w:val="auto"/>
        </w:rPr>
        <w:t>2.3</w:t>
      </w:r>
      <w:r>
        <w:rPr>
          <w:rFonts w:ascii="Times New Roman" w:hAnsi="Times New Roman" w:eastAsia="仿宋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pacing w:val="-4"/>
        </w:rPr>
        <w:t>供试品溶液制</w:t>
      </w:r>
      <w:r>
        <w:rPr>
          <w:rFonts w:hint="eastAsia" w:ascii="Times New Roman" w:hAnsi="Times New Roman" w:cs="Times New Roman"/>
          <w:color w:val="auto"/>
          <w:spacing w:val="-4"/>
        </w:rPr>
        <w:t>备</w:t>
      </w:r>
    </w:p>
    <w:p>
      <w:pPr>
        <w:autoSpaceDE w:val="0"/>
        <w:autoSpaceDN w:val="0"/>
        <w:adjustRightInd w:val="0"/>
        <w:snapToGrid w:val="0"/>
        <w:spacing w:line="360" w:lineRule="auto"/>
        <w:ind w:right="-2" w:firstLine="404" w:firstLineChars="200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称取试样0.25-0.5g（精确至0.0001g）。用缓冲液（2.1</w:t>
      </w:r>
      <w:r>
        <w:rPr>
          <w:rFonts w:hint="eastAsia" w:ascii="Times New Roman" w:hAnsi="Times New Roman" w:cs="Times New Roman"/>
          <w:color w:val="auto"/>
          <w:spacing w:val="-4"/>
        </w:rPr>
        <w:t>项</w:t>
      </w:r>
      <w:r>
        <w:rPr>
          <w:rFonts w:ascii="Times New Roman" w:hAnsi="Times New Roman" w:cs="Times New Roman"/>
          <w:color w:val="auto"/>
          <w:spacing w:val="-4"/>
        </w:rPr>
        <w:t>）溶解，超声振荡5 min.定容于250 mL容量瓶中，摇匀。将溶液全部转入250 mL广口塑料瓶，置于-20</w:t>
      </w:r>
      <w:r>
        <w:rPr>
          <w:rFonts w:hint="eastAsia" w:ascii="Times New Roman" w:hAnsi="Times New Roman" w:cs="Times New Roman"/>
          <w:color w:val="auto"/>
          <w:spacing w:val="-4"/>
        </w:rPr>
        <w:t>℃</w:t>
      </w:r>
      <w:r>
        <w:rPr>
          <w:rFonts w:ascii="Times New Roman" w:hAnsi="Times New Roman" w:cs="Times New Roman"/>
          <w:color w:val="auto"/>
          <w:spacing w:val="-4"/>
        </w:rPr>
        <w:t>冰箱内冷冻12h(或放置过夜)。取出解冻，摇匀。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2.4</w:t>
      </w: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 xml:space="preserve"> 测定</w:t>
      </w:r>
    </w:p>
    <w:p>
      <w:pPr>
        <w:autoSpaceDE w:val="0"/>
        <w:autoSpaceDN w:val="0"/>
        <w:adjustRightInd w:val="0"/>
        <w:snapToGrid w:val="0"/>
        <w:spacing w:line="360" w:lineRule="auto"/>
        <w:ind w:right="-2" w:firstLine="357" w:firstLineChars="177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取部分溶液于离心管中，在3000r/min转速下离心15min取上层清液.1 cm比色皿，在分光光度计上分别测定620 nm、652 nm、562 nm处的吸光度，用缓冲液(2.1</w:t>
      </w:r>
      <w:r>
        <w:rPr>
          <w:rFonts w:hint="eastAsia" w:ascii="Times New Roman" w:hAnsi="Times New Roman" w:cs="Times New Roman"/>
          <w:color w:val="auto"/>
          <w:spacing w:val="-4"/>
        </w:rPr>
        <w:t>项</w:t>
      </w:r>
      <w:r>
        <w:rPr>
          <w:rFonts w:ascii="Times New Roman" w:hAnsi="Times New Roman" w:cs="Times New Roman"/>
          <w:color w:val="auto"/>
          <w:spacing w:val="-4"/>
        </w:rPr>
        <w:t>)做空白。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2.5 结果计算</w:t>
      </w:r>
    </w:p>
    <w:p>
      <w:pPr>
        <w:pStyle w:val="4"/>
        <w:snapToGrid w:val="0"/>
        <w:spacing w:before="0" w:beforeAutospacing="0" w:after="0" w:afterAutospacing="0" w:line="360" w:lineRule="auto"/>
        <w:ind w:firstLine="357" w:firstLineChars="177"/>
        <w:jc w:val="center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X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1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=0.187</m:t>
          </m:r>
          <m:sSub>
            <m:sSubP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A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620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  <m:r>
            <w:rPr>
              <w:rFonts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-0.089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A</m:t>
              </m: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652</m:t>
              </m: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</m:oMath>
      </m:oMathPara>
    </w:p>
    <w:p>
      <w:pPr>
        <w:pStyle w:val="4"/>
        <w:snapToGrid w:val="0"/>
        <w:spacing w:before="0" w:beforeAutospacing="0" w:after="0" w:afterAutospacing="0" w:line="360" w:lineRule="auto"/>
        <w:ind w:firstLine="357" w:firstLineChars="177"/>
        <w:jc w:val="center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X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2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=0.196</m:t>
          </m:r>
          <m:sSub>
            <m:sSubP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A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652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  <m:r>
            <w:rPr>
              <w:rFonts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-0.041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A</m:t>
              </m: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620</m:t>
              </m: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</m:oMath>
      </m:oMathPara>
    </w:p>
    <w:p>
      <w:pPr>
        <w:pStyle w:val="4"/>
        <w:snapToGrid w:val="0"/>
        <w:spacing w:before="0" w:beforeAutospacing="0" w:after="0" w:afterAutospacing="0" w:line="360" w:lineRule="auto"/>
        <w:ind w:firstLine="357" w:firstLineChars="177"/>
        <w:jc w:val="center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hint="eastAsia"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X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3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=</m:t>
          </m:r>
          <m:r>
            <m:rPr>
              <m:sty m:val="p"/>
            </m:rPr>
            <w:rPr>
              <w:rFonts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0.104</m:t>
          </m:r>
          <m:sSub>
            <m:sSubP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A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562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  <m:r>
            <w:rPr>
              <w:rFonts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-0.251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X</m:t>
              </m: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1</m:t>
              </m: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  <m:r>
            <w:rPr>
              <w:rFonts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-0.088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X</m:t>
              </m: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2</m:t>
              </m:r>
              <m:ctrlPr>
                <w:rPr>
                  <w:rFonts w:ascii="Cambria Math" w:hAnsi="Cambria Math" w:cs="Times New Roman" w:eastAsiaTheme="minorEastAsia"/>
                  <w:i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</m:oMath>
      </m:oMathPara>
    </w:p>
    <w:p>
      <w:pPr>
        <w:pStyle w:val="4"/>
        <w:snapToGrid w:val="0"/>
        <w:spacing w:before="0" w:beforeAutospacing="0" w:after="0" w:afterAutospacing="0" w:line="360" w:lineRule="auto"/>
        <w:ind w:firstLine="357" w:firstLineChars="177"/>
        <w:jc w:val="center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X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e>
            <m: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4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 w:eastAsiaTheme="minorEastAsia"/>
              <w:color w:val="auto"/>
              <w:spacing w:val="-4"/>
              <w:kern w:val="2"/>
              <w:sz w:val="21"/>
              <w:szCs w:val="22"/>
            </w:rPr>
            <m:t>=</m:t>
          </m:r>
          <m:f>
            <m:fP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fPr>
            <m:num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 w:eastAsiaTheme="minorEastAsia"/>
                      <w:color w:val="auto"/>
                      <w:spacing w:val="-4"/>
                      <w:kern w:val="2"/>
                      <w:sz w:val="21"/>
                      <w:szCs w:val="22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 w:eastAsiaTheme="minorEastAsia"/>
                      <w:color w:val="auto"/>
                      <w:spacing w:val="-4"/>
                      <w:kern w:val="2"/>
                      <w:sz w:val="21"/>
                      <w:szCs w:val="22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sub>
              </m:s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 w:eastAsiaTheme="minorEastAsia"/>
                      <w:color w:val="auto"/>
                      <w:spacing w:val="-4"/>
                      <w:kern w:val="2"/>
                      <w:sz w:val="21"/>
                      <w:szCs w:val="22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 w:eastAsiaTheme="minorEastAsia"/>
                      <w:color w:val="auto"/>
                      <w:spacing w:val="-4"/>
                      <w:kern w:val="2"/>
                      <w:sz w:val="21"/>
                      <w:szCs w:val="22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sub>
              </m:s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 w:eastAsiaTheme="minorEastAsia"/>
                      <w:color w:val="auto"/>
                      <w:spacing w:val="-4"/>
                      <w:kern w:val="2"/>
                      <w:sz w:val="21"/>
                      <w:szCs w:val="22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 w:eastAsiaTheme="minorEastAsia"/>
                      <w:color w:val="auto"/>
                      <w:spacing w:val="-4"/>
                      <w:kern w:val="2"/>
                      <w:sz w:val="21"/>
                      <w:szCs w:val="22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  <w:spacing w:val="-4"/>
                      <w:kern w:val="2"/>
                      <w:sz w:val="21"/>
                      <w:szCs w:val="22"/>
                    </w:rPr>
                  </m:ctrlPr>
                </m:sub>
              </m:sSub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)×V×100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num>
            <m:den>
              <m: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  <m:t>m×1000</m:t>
              </m:r>
              <m:ctrlPr>
                <w:rPr>
                  <w:rFonts w:ascii="Cambria Math" w:hAnsi="Cambria Math" w:cs="Times New Roman" w:eastAsiaTheme="minorEastAsia"/>
                  <w:color w:val="auto"/>
                  <w:spacing w:val="-4"/>
                  <w:kern w:val="2"/>
                  <w:sz w:val="21"/>
                  <w:szCs w:val="22"/>
                </w:rPr>
              </m:ctrlPr>
            </m:den>
          </m:f>
        </m:oMath>
      </m:oMathPara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i/>
          <w:iCs/>
          <w:color w:val="auto"/>
          <w:spacing w:val="-4"/>
        </w:rPr>
        <w:t>X</w:t>
      </w:r>
      <w:r>
        <w:rPr>
          <w:rFonts w:ascii="Times New Roman" w:hAnsi="Times New Roman" w:cs="Times New Roman"/>
          <w:i/>
          <w:iCs/>
          <w:color w:val="auto"/>
          <w:spacing w:val="-4"/>
          <w:vertAlign w:val="subscript"/>
        </w:rPr>
        <w:t>1</w:t>
      </w:r>
      <w:r>
        <w:rPr>
          <w:rFonts w:ascii="Times New Roman" w:hAnsi="Times New Roman" w:cs="Times New Roman"/>
          <w:color w:val="auto"/>
          <w:spacing w:val="-4"/>
        </w:rPr>
        <w:t>——测试液中藻蓝素的含量，单位为毫克每毫升(mg/mL)；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i/>
          <w:iCs/>
          <w:color w:val="auto"/>
          <w:spacing w:val="-4"/>
        </w:rPr>
        <w:t>X</w:t>
      </w:r>
      <w:r>
        <w:rPr>
          <w:rFonts w:ascii="Times New Roman" w:hAnsi="Times New Roman" w:cs="Times New Roman"/>
          <w:i/>
          <w:iCs/>
          <w:color w:val="auto"/>
          <w:spacing w:val="-4"/>
          <w:vertAlign w:val="subscript"/>
        </w:rPr>
        <w:t>2</w:t>
      </w:r>
      <w:r>
        <w:rPr>
          <w:rFonts w:ascii="Times New Roman" w:hAnsi="Times New Roman" w:cs="Times New Roman"/>
          <w:color w:val="auto"/>
          <w:spacing w:val="-4"/>
        </w:rPr>
        <w:t>——测试液中异藻蓝素的含量，单位为毫克每毫升(mg/mL)；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i/>
          <w:iCs/>
          <w:color w:val="auto"/>
          <w:spacing w:val="-4"/>
        </w:rPr>
        <w:t>X</w:t>
      </w:r>
      <w:r>
        <w:rPr>
          <w:rFonts w:ascii="Times New Roman" w:hAnsi="Times New Roman" w:cs="Times New Roman"/>
          <w:i/>
          <w:iCs/>
          <w:color w:val="auto"/>
          <w:spacing w:val="-4"/>
          <w:vertAlign w:val="subscript"/>
        </w:rPr>
        <w:t>3</w:t>
      </w:r>
      <w:r>
        <w:rPr>
          <w:rFonts w:ascii="Times New Roman" w:hAnsi="Times New Roman" w:cs="Times New Roman"/>
          <w:color w:val="auto"/>
          <w:spacing w:val="-4"/>
        </w:rPr>
        <w:t>——测试液中藻红素的含量，单位为毫克每毫升(mg/mL)；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i/>
          <w:iCs/>
          <w:color w:val="auto"/>
          <w:spacing w:val="-4"/>
        </w:rPr>
        <w:t>A</w:t>
      </w:r>
      <w:r>
        <w:rPr>
          <w:rFonts w:ascii="Times New Roman" w:hAnsi="Times New Roman" w:cs="Times New Roman"/>
          <w:color w:val="auto"/>
          <w:spacing w:val="-4"/>
        </w:rPr>
        <w:t>——相应波长处(620nm,652nm,562nm)测得吸光值；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i/>
          <w:iCs/>
          <w:color w:val="auto"/>
          <w:spacing w:val="-4"/>
        </w:rPr>
        <w:t>X</w:t>
      </w:r>
      <w:r>
        <w:rPr>
          <w:rFonts w:ascii="Times New Roman" w:hAnsi="Times New Roman" w:cs="Times New Roman"/>
          <w:i/>
          <w:iCs/>
          <w:color w:val="auto"/>
          <w:spacing w:val="-4"/>
          <w:vertAlign w:val="subscript"/>
        </w:rPr>
        <w:t>4</w:t>
      </w:r>
      <w:r>
        <w:rPr>
          <w:rFonts w:ascii="Times New Roman" w:hAnsi="Times New Roman" w:cs="Times New Roman"/>
          <w:color w:val="auto"/>
          <w:spacing w:val="-4"/>
        </w:rPr>
        <w:t>——试样中藻蓝蛋白的质量分数，单位为克每100克(g/100g)；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i/>
          <w:iCs/>
          <w:color w:val="auto"/>
          <w:spacing w:val="-4"/>
        </w:rPr>
        <w:t>V</w:t>
      </w:r>
      <w:r>
        <w:rPr>
          <w:rFonts w:ascii="Times New Roman" w:hAnsi="Times New Roman" w:cs="Times New Roman"/>
          <w:color w:val="auto"/>
          <w:spacing w:val="-4"/>
        </w:rPr>
        <w:t>——样品定容体积，单位为毫升(mL)。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i/>
          <w:iCs/>
          <w:color w:val="auto"/>
          <w:spacing w:val="-4"/>
        </w:rPr>
        <w:t>m</w:t>
      </w:r>
      <w:r>
        <w:rPr>
          <w:rFonts w:ascii="Times New Roman" w:hAnsi="Times New Roman" w:cs="Times New Roman"/>
          <w:color w:val="auto"/>
          <w:spacing w:val="-4"/>
        </w:rPr>
        <w:t>——试样质量，单位为克(g)。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测定结果取平行试验结果的算术平均值，保留小数点后第二位。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08" w:firstLineChars="202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平行试验允许误差(相对)不大于4%。</w:t>
      </w:r>
    </w:p>
    <w:p>
      <w:pPr>
        <w:pStyle w:val="4"/>
        <w:snapToGrid w:val="0"/>
        <w:spacing w:before="0" w:beforeAutospacing="0" w:after="0" w:afterAutospacing="0" w:line="360" w:lineRule="auto"/>
        <w:ind w:firstLine="410" w:firstLineChars="203"/>
        <w:jc w:val="both"/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</w:pPr>
      <w:r>
        <w:rPr>
          <w:rFonts w:ascii="Times New Roman" w:hAnsi="Times New Roman" w:cs="Times New Roman" w:eastAsiaTheme="minorEastAsia"/>
          <w:color w:val="auto"/>
          <w:spacing w:val="-4"/>
          <w:kern w:val="2"/>
          <w:sz w:val="21"/>
          <w:szCs w:val="22"/>
        </w:rPr>
        <w:t>注2 整个操作过程须注意避光，分光光度测定应在15 min 内完成。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 w:eastAsiaTheme="minorEastAsia"/>
          <w:color w:val="auto"/>
          <w:kern w:val="2"/>
          <w:sz w:val="21"/>
          <w:szCs w:val="22"/>
        </w:rPr>
      </w:pP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2"/>
        </w:rPr>
        <w:t>【</w:t>
      </w:r>
      <w:r>
        <w:rPr>
          <w:rFonts w:ascii="Times New Roman" w:hAnsi="Times New Roman" w:cs="Times New Roman" w:eastAsiaTheme="minorEastAsia"/>
          <w:color w:val="auto"/>
          <w:kern w:val="2"/>
          <w:sz w:val="21"/>
          <w:szCs w:val="22"/>
        </w:rPr>
        <w:t>储存</w:t>
      </w: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2"/>
        </w:rPr>
        <w:t>】包装应密封、牢固、防潮、不易破损，贮藏在遮荫、干燥、通风的库房内</w:t>
      </w:r>
    </w:p>
    <w:p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【</w:t>
      </w:r>
      <w:r>
        <w:rPr>
          <w:rFonts w:ascii="Times New Roman" w:hAnsi="Times New Roman" w:cs="Times New Roman"/>
          <w:color w:val="auto"/>
          <w:spacing w:val="-4"/>
        </w:rPr>
        <w:t>产品</w:t>
      </w:r>
      <w:r>
        <w:rPr>
          <w:rFonts w:hint="eastAsia" w:ascii="Times New Roman" w:hAnsi="Times New Roman" w:cs="Times New Roman"/>
          <w:color w:val="auto"/>
          <w:spacing w:val="-4"/>
        </w:rPr>
        <w:t>的</w:t>
      </w:r>
      <w:r>
        <w:rPr>
          <w:rFonts w:ascii="Times New Roman" w:hAnsi="Times New Roman" w:cs="Times New Roman"/>
          <w:color w:val="auto"/>
          <w:spacing w:val="-4"/>
        </w:rPr>
        <w:t>剂型</w:t>
      </w:r>
      <w:r>
        <w:rPr>
          <w:rFonts w:hint="eastAsia" w:ascii="Times New Roman" w:hAnsi="Times New Roman" w:cs="Times New Roman"/>
          <w:b/>
          <w:color w:val="auto"/>
        </w:rPr>
        <w:t>】</w:t>
      </w:r>
      <w:r>
        <w:rPr>
          <w:rFonts w:hint="eastAsia" w:ascii="Times New Roman" w:hAnsi="Times New Roman" w:cs="Times New Roman"/>
          <w:color w:val="auto"/>
        </w:rPr>
        <w:t>片剂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hint="eastAsia" w:ascii="Times New Roman" w:hAnsi="Times New Roman" w:cs="Times New Roman"/>
          <w:color w:val="auto"/>
        </w:rPr>
        <w:t>颗粒剂</w:t>
      </w:r>
      <w:r>
        <w:rPr>
          <w:rFonts w:ascii="Times New Roman" w:hAnsi="Times New Roman" w:cs="Times New Roman"/>
          <w:color w:val="auto"/>
        </w:rPr>
        <w:t>、硬胶囊</w:t>
      </w:r>
    </w:p>
    <w:p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——————————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3EB0"/>
    <w:rsid w:val="06193ADA"/>
    <w:rsid w:val="43E43EB0"/>
    <w:rsid w:val="614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7">
    <w:name w:val="网格型1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2020-12-01T07:24:00Z</dcterms:created>
  <dc:creator>周石平</dc:creator>
  <cp:lastModifiedBy>周石平</cp:lastModifiedBy>
  <dcterms:modified xsi:type="dcterms:W3CDTF">2020-12-01T07:41:14Z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